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33222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53EE343">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08A16812">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13.220.20</w:t>
            </w:r>
            <w:r>
              <w:rPr>
                <w:rFonts w:ascii="黑体" w:hAnsi="黑体" w:eastAsia="黑体"/>
                <w:sz w:val="21"/>
                <w:szCs w:val="21"/>
              </w:rPr>
              <w:fldChar w:fldCharType="end"/>
            </w:r>
            <w:bookmarkEnd w:id="0"/>
          </w:p>
        </w:tc>
      </w:tr>
      <w:tr w14:paraId="1EE7A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417A1F0E">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7"/>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5BDC44E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05064045">
                  <w:pPr>
                    <w:pStyle w:val="49"/>
                    <w:framePr w:wrap="notBeside" w:vAnchor="page" w:hAnchor="page" w:x="1372" w:y="568"/>
                    <w:ind w:left="420" w:right="624"/>
                    <w:rPr>
                      <w:rFonts w:hint="eastAsia" w:ascii="宋体" w:hAnsi="宋体"/>
                      <w:sz w:val="28"/>
                      <w:szCs w:val="28"/>
                    </w:rPr>
                  </w:pPr>
                </w:p>
              </w:tc>
            </w:tr>
          </w:tbl>
          <w:p w14:paraId="2C4CF1DE">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C</w:t>
            </w:r>
            <w:r>
              <w:rPr>
                <w:rFonts w:hint="eastAsia" w:ascii="黑体" w:hAnsi="黑体" w:eastAsia="黑体"/>
                <w:sz w:val="21"/>
                <w:szCs w:val="21"/>
              </w:rPr>
              <w:t xml:space="preserve"> </w:t>
            </w:r>
            <w:r>
              <w:rPr>
                <w:rFonts w:ascii="黑体" w:hAnsi="黑体" w:eastAsia="黑体"/>
                <w:sz w:val="21"/>
                <w:szCs w:val="21"/>
              </w:rPr>
              <w:t>84</w:t>
            </w:r>
            <w:r>
              <w:rPr>
                <w:rFonts w:ascii="黑体" w:hAnsi="黑体" w:eastAsia="黑体"/>
                <w:sz w:val="21"/>
                <w:szCs w:val="21"/>
              </w:rPr>
              <w:fldChar w:fldCharType="end"/>
            </w:r>
            <w:bookmarkEnd w:id="1"/>
          </w:p>
        </w:tc>
      </w:tr>
    </w:tbl>
    <w:p w14:paraId="38ECC91C">
      <w:pPr>
        <w:pStyle w:val="50"/>
        <w:framePr w:w="9639" w:h="624" w:hRule="exact" w:hSpace="181" w:vSpace="181" w:wrap="around" w:hAnchor="page" w:x="1305" w:y="2269"/>
        <w:rPr>
          <w:rFonts w:hint="eastAsia" w:ascii="黑体" w:hAnsi="黑体" w:eastAsia="黑体"/>
          <w:b w:val="0"/>
          <w:bCs w:val="0"/>
          <w:w w:val="100"/>
          <w:sz w:val="48"/>
          <w:szCs w:val="48"/>
        </w:rPr>
      </w:pPr>
      <w:bookmarkStart w:id="2" w:name="_Hlk26473981"/>
      <w:r>
        <w:rPr>
          <w:rFonts w:hint="eastAsia" w:ascii="黑体" w:eastAsia="黑体"/>
          <w:b w:val="0"/>
          <w:w w:val="100"/>
          <w:sz w:val="48"/>
        </w:rPr>
        <w:t>团体</w:t>
      </w:r>
      <w:r>
        <w:rPr>
          <w:rFonts w:hint="eastAsia" w:ascii="黑体" w:hAnsi="黑体" w:eastAsia="黑体"/>
          <w:b w:val="0"/>
          <w:bCs w:val="0"/>
          <w:w w:val="100"/>
          <w:sz w:val="48"/>
          <w:szCs w:val="48"/>
        </w:rPr>
        <w:t>标准</w:t>
      </w:r>
    </w:p>
    <w:bookmarkEnd w:id="2"/>
    <w:p w14:paraId="6EEBFE80">
      <w:pPr>
        <w:pStyle w:val="195"/>
      </w:pPr>
      <w:r>
        <w:t>T/</w:t>
      </w:r>
      <w:r>
        <w:fldChar w:fldCharType="begin">
          <w:ffData>
            <w:name w:val="文字1"/>
            <w:enabled/>
            <w:calcOnExit w:val="0"/>
            <w:textInput>
              <w:default w:val="XXX"/>
            </w:textInput>
          </w:ffData>
        </w:fldChar>
      </w:r>
      <w:bookmarkStart w:id="3" w:name="文字1"/>
      <w:r>
        <w:instrText xml:space="preserve"> FORMTEXT </w:instrText>
      </w:r>
      <w:r>
        <w:fldChar w:fldCharType="separate"/>
      </w:r>
      <w:r>
        <w:t>CFPA</w:t>
      </w:r>
      <w:r>
        <w:fldChar w:fldCharType="end"/>
      </w:r>
      <w:bookmarkEnd w:id="3"/>
      <w:r>
        <w:t xml:space="preserve"> </w:t>
      </w:r>
      <w:r>
        <w:fldChar w:fldCharType="begin">
          <w:ffData>
            <w:name w:val="NSTD_CODE_F"/>
            <w:enabled/>
            <w:calcOnExit w:val="0"/>
            <w:textInput>
              <w:default w:val="XXXX"/>
            </w:textInput>
          </w:ffData>
        </w:fldChar>
      </w:r>
      <w:bookmarkStart w:id="4" w:name="NSTD_CODE_F"/>
      <w:r>
        <w:instrText xml:space="preserve"> FORMTEXT </w:instrText>
      </w:r>
      <w:r>
        <w:fldChar w:fldCharType="separate"/>
      </w:r>
      <w:r>
        <w:t>XXXX</w:t>
      </w:r>
      <w:r>
        <w:fldChar w:fldCharType="end"/>
      </w:r>
      <w:bookmarkEnd w:id="4"/>
      <w:r>
        <w:rPr>
          <w:rFonts w:hAnsi="黑体"/>
        </w:rPr>
        <w:t>—</w:t>
      </w:r>
      <w:r>
        <w:fldChar w:fldCharType="begin">
          <w:ffData>
            <w:name w:val="NSTD_CODE_B"/>
            <w:enabled/>
            <w:calcOnExit w:val="0"/>
            <w:textInput>
              <w:default w:val="XXXX"/>
            </w:textInput>
          </w:ffData>
        </w:fldChar>
      </w:r>
      <w:bookmarkStart w:id="5" w:name="NSTD_CODE_B"/>
      <w:r>
        <w:instrText xml:space="preserve"> FORMTEXT </w:instrText>
      </w:r>
      <w:r>
        <w:fldChar w:fldCharType="separate"/>
      </w:r>
      <w:r>
        <w:rPr>
          <w:rFonts w:hint="eastAsia"/>
        </w:rPr>
        <w:t>2026</w:t>
      </w:r>
      <w:r>
        <w:fldChar w:fldCharType="end"/>
      </w:r>
      <w:bookmarkEnd w:id="5"/>
    </w:p>
    <w:p w14:paraId="6E8F71B4">
      <w:pPr>
        <w:pStyle w:val="196"/>
        <w:rPr>
          <w:rFonts w:hint="eastAsia"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6"/>
    </w:p>
    <w:p w14:paraId="1009F450">
      <w:pPr>
        <w:rPr>
          <w:rFonts w:hint="eastAsia" w:ascii="黑体" w:hAnsi="黑体" w:eastAsia="黑体"/>
          <w:sz w:val="10"/>
          <w:szCs w:val="10"/>
        </w:rPr>
      </w:pPr>
      <w:r>
        <w:rPr>
          <w:rFonts w:ascii="黑体" w:hAnsi="黑体" w:eastAsia="黑体"/>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68EE6685">
      <w:pPr>
        <w:pStyle w:val="50"/>
        <w:framePr w:w="9639" w:h="6976" w:hRule="exact" w:hSpace="0" w:vSpace="0" w:wrap="around" w:hAnchor="page" w:y="6408"/>
        <w:jc w:val="center"/>
        <w:rPr>
          <w:rFonts w:hint="eastAsia" w:ascii="黑体" w:hAnsi="黑体" w:eastAsia="黑体"/>
          <w:b w:val="0"/>
          <w:bCs w:val="0"/>
          <w:w w:val="100"/>
        </w:rPr>
      </w:pPr>
    </w:p>
    <w:p w14:paraId="1CDFE4C5">
      <w:pPr>
        <w:pStyle w:val="197"/>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t>新能源车位火灾防护隔断</w:t>
      </w:r>
      <w:r>
        <w:fldChar w:fldCharType="end"/>
      </w:r>
      <w:bookmarkEnd w:id="7"/>
    </w:p>
    <w:p w14:paraId="545814FC">
      <w:pPr>
        <w:framePr w:w="9639" w:h="6974" w:hRule="exact" w:wrap="around" w:vAnchor="page" w:hAnchor="page" w:x="1419" w:y="6408" w:anchorLock="1"/>
        <w:ind w:left="-1418"/>
        <w:rPr>
          <w:rFonts w:hint="eastAsia"/>
        </w:rPr>
      </w:pPr>
    </w:p>
    <w:p w14:paraId="5229E2F5">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fldChar w:fldCharType="separate"/>
      </w:r>
      <w:r>
        <w:rPr>
          <w:rFonts w:eastAsia="黑体"/>
          <w:szCs w:val="28"/>
        </w:rPr>
        <w:t xml:space="preserve">Fire protection </w:t>
      </w:r>
      <w:r>
        <w:rPr>
          <w:rFonts w:hint="eastAsia" w:eastAsia="黑体"/>
          <w:szCs w:val="28"/>
          <w:lang w:val="en-US" w:eastAsia="zh-CN"/>
        </w:rPr>
        <w:t>barrier</w:t>
      </w:r>
      <w:r>
        <w:rPr>
          <w:rFonts w:eastAsia="黑体"/>
          <w:szCs w:val="28"/>
        </w:rPr>
        <w:t xml:space="preserve"> for </w:t>
      </w:r>
      <w:r>
        <w:rPr>
          <w:rFonts w:hint="eastAsia" w:eastAsia="黑体"/>
          <w:szCs w:val="28"/>
        </w:rPr>
        <w:t>n</w:t>
      </w:r>
      <w:r>
        <w:rPr>
          <w:rFonts w:eastAsia="黑体"/>
          <w:szCs w:val="28"/>
        </w:rPr>
        <w:t xml:space="preserve">ew </w:t>
      </w:r>
      <w:r>
        <w:rPr>
          <w:rFonts w:hint="eastAsia" w:eastAsia="黑体"/>
          <w:szCs w:val="28"/>
        </w:rPr>
        <w:t>e</w:t>
      </w:r>
      <w:r>
        <w:rPr>
          <w:rFonts w:eastAsia="黑体"/>
          <w:szCs w:val="28"/>
        </w:rPr>
        <w:t>nergy</w:t>
      </w:r>
      <w:r>
        <w:rPr>
          <w:rFonts w:hint="eastAsia" w:eastAsia="黑体"/>
          <w:szCs w:val="28"/>
        </w:rPr>
        <w:t xml:space="preserve"> </w:t>
      </w:r>
      <w:r>
        <w:rPr>
          <w:rFonts w:eastAsia="黑体"/>
          <w:szCs w:val="28"/>
        </w:rPr>
        <w:t>parking spaces</w:t>
      </w:r>
      <w:r>
        <w:rPr>
          <w:rFonts w:eastAsia="黑体"/>
          <w:szCs w:val="28"/>
        </w:rPr>
        <w:fldChar w:fldCharType="end"/>
      </w:r>
      <w:bookmarkEnd w:id="8"/>
    </w:p>
    <w:p w14:paraId="2BF4C1EC">
      <w:pPr>
        <w:framePr w:w="9639" w:h="6974" w:hRule="exact" w:wrap="around" w:vAnchor="page" w:hAnchor="page" w:x="1419" w:y="6408" w:anchorLock="1"/>
        <w:spacing w:line="760" w:lineRule="exact"/>
        <w:ind w:left="-1418"/>
        <w:rPr>
          <w:rFonts w:hint="eastAsia"/>
        </w:rPr>
      </w:pPr>
    </w:p>
    <w:p w14:paraId="67C04A4E">
      <w:pPr>
        <w:pStyle w:val="125"/>
        <w:framePr w:w="9639" w:h="6974" w:hRule="exact" w:wrap="around" w:vAnchor="page" w:hAnchor="page" w:x="1419" w:y="6408" w:anchorLock="1"/>
        <w:textAlignment w:val="bottom"/>
        <w:rPr>
          <w:rFonts w:eastAsia="黑体"/>
          <w:szCs w:val="28"/>
        </w:rPr>
      </w:pPr>
    </w:p>
    <w:p w14:paraId="56EF8ECA">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9" w:name="下拉1"/>
      <w:r>
        <w:rPr>
          <w:sz w:val="24"/>
          <w:szCs w:val="28"/>
        </w:rPr>
        <w:instrText xml:space="preserve"> FORMDROPDOWN </w:instrText>
      </w:r>
      <w:r>
        <w:rPr>
          <w:sz w:val="24"/>
          <w:szCs w:val="28"/>
        </w:rPr>
        <w:fldChar w:fldCharType="separate"/>
      </w:r>
      <w:r>
        <w:rPr>
          <w:sz w:val="24"/>
          <w:szCs w:val="28"/>
        </w:rPr>
        <w:fldChar w:fldCharType="end"/>
      </w:r>
      <w:bookmarkEnd w:id="9"/>
    </w:p>
    <w:p w14:paraId="3F45D045">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0"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0"/>
    </w:p>
    <w:p w14:paraId="7453CEB0">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1" w:name="下拉2"/>
      <w:r>
        <w:rPr>
          <w:b/>
          <w:sz w:val="21"/>
          <w:szCs w:val="28"/>
        </w:rPr>
        <w:instrText xml:space="preserve"> FORMDROPDOWN </w:instrText>
      </w:r>
      <w:r>
        <w:rPr>
          <w:b/>
          <w:sz w:val="21"/>
          <w:szCs w:val="28"/>
        </w:rPr>
        <w:fldChar w:fldCharType="separate"/>
      </w:r>
      <w:r>
        <w:rPr>
          <w:b/>
          <w:sz w:val="21"/>
          <w:szCs w:val="28"/>
        </w:rPr>
        <w:fldChar w:fldCharType="end"/>
      </w:r>
      <w:bookmarkEnd w:id="11"/>
    </w:p>
    <w:p w14:paraId="4E2D3E28">
      <w:pPr>
        <w:pStyle w:val="193"/>
        <w:framePr w:wrap="around"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fldChar w:fldCharType="separate"/>
      </w:r>
      <w:r>
        <w:rPr>
          <w:rFonts w:hint="eastAsia" w:ascii="黑体"/>
        </w:rPr>
        <w:t>2026</w:t>
      </w:r>
      <w:r>
        <w:rPr>
          <w:rFonts w:ascii="黑体"/>
        </w:rPr>
        <w:fldChar w:fldCharType="end"/>
      </w:r>
      <w:bookmarkEnd w:id="12"/>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发布</w:t>
      </w:r>
    </w:p>
    <w:p w14:paraId="38B66710">
      <w:pPr>
        <w:pStyle w:val="194"/>
        <w:framePr w:wrap="around"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fldChar w:fldCharType="separate"/>
      </w:r>
      <w:r>
        <w:rPr>
          <w:rFonts w:hint="eastAsia" w:ascii="黑体"/>
        </w:rPr>
        <w:t>2026</w:t>
      </w:r>
      <w:r>
        <w:rPr>
          <w:rFonts w:ascii="黑体"/>
        </w:rPr>
        <w:fldChar w:fldCharType="end"/>
      </w:r>
      <w:bookmarkEnd w:id="15"/>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实施</w:t>
      </w:r>
    </w:p>
    <w:p w14:paraId="489CA52E">
      <w:pPr>
        <w:pStyle w:val="151"/>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18"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中国消防协会</w:t>
      </w:r>
      <w:r>
        <w:rPr>
          <w:rFonts w:hAnsi="黑体"/>
          <w:w w:val="100"/>
          <w:sz w:val="28"/>
        </w:rPr>
        <w:fldChar w:fldCharType="end"/>
      </w:r>
      <w:bookmarkEnd w:id="18"/>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3C79C3C8">
      <w:pPr>
        <w:rPr>
          <w:rFonts w:hint="eastAsia"/>
          <w:sz w:val="28"/>
          <w:szCs w:val="28"/>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567" w:right="1134" w:bottom="1134" w:left="1134" w:header="1418" w:footer="1134" w:gutter="284"/>
          <w:cols w:space="425" w:num="1"/>
          <w:titlePg/>
          <w:docGrid w:linePitch="312" w:charSpace="0"/>
        </w:sectPr>
      </w:pPr>
      <w:r>
        <w:rPr>
          <w:rFonts w:hint="eastAsia"/>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2658A2FA">
      <w:pPr>
        <w:pStyle w:val="91"/>
        <w:spacing w:after="360"/>
      </w:pPr>
      <w:bookmarkStart w:id="19" w:name="BookMark1"/>
      <w:bookmarkStart w:id="20" w:name="_Toc218526012"/>
      <w:bookmarkStart w:id="21" w:name="_Toc185347461"/>
      <w:bookmarkStart w:id="22" w:name="_Toc217921683"/>
      <w:bookmarkStart w:id="23" w:name="_Toc216857075"/>
      <w:bookmarkStart w:id="24" w:name="_Toc217978888"/>
      <w:bookmarkStart w:id="25" w:name="_Toc223100304"/>
      <w:bookmarkStart w:id="26" w:name="_Toc194306915"/>
      <w:bookmarkStart w:id="27" w:name="_Toc204954740"/>
      <w:bookmarkStart w:id="28" w:name="_Toc217980252"/>
      <w:bookmarkStart w:id="29" w:name="_Toc195881604"/>
      <w:r>
        <w:rPr>
          <w:rFonts w:hint="eastAsia"/>
          <w:spacing w:val="320"/>
        </w:rPr>
        <w:t>目</w:t>
      </w:r>
      <w:r>
        <w:rPr>
          <w:rFonts w:hint="eastAsia"/>
        </w:rPr>
        <w:t>次</w:t>
      </w:r>
    </w:p>
    <w:p w14:paraId="31712A10">
      <w:pPr>
        <w:pStyle w:val="19"/>
        <w:tabs>
          <w:tab w:val="right" w:leader="dot" w:pos="9344"/>
        </w:tabs>
        <w:rPr>
          <w:rFonts w:hint="eastAsia"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"_Toc226641039" </w:instrText>
      </w:r>
      <w:r>
        <w:fldChar w:fldCharType="separate"/>
      </w:r>
      <w:r>
        <w:rPr>
          <w:rStyle w:val="32"/>
          <w:rFonts w:hint="eastAsia"/>
        </w:rPr>
        <w:t>前言</w:t>
      </w:r>
      <w:r>
        <w:tab/>
      </w:r>
      <w:r>
        <w:fldChar w:fldCharType="begin"/>
      </w:r>
      <w:r>
        <w:instrText xml:space="preserve"> PAGEREF _Toc226641039 \h </w:instrText>
      </w:r>
      <w:r>
        <w:fldChar w:fldCharType="separate"/>
      </w:r>
      <w:r>
        <w:t>II</w:t>
      </w:r>
      <w:r>
        <w:fldChar w:fldCharType="end"/>
      </w:r>
      <w:r>
        <w:fldChar w:fldCharType="end"/>
      </w:r>
    </w:p>
    <w:p w14:paraId="5D676819">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"_Toc226641040" </w:instrText>
      </w:r>
      <w:r>
        <w:fldChar w:fldCharType="separate"/>
      </w:r>
      <w:r>
        <w:rPr>
          <w:rStyle w:val="32"/>
        </w:rPr>
        <w:t xml:space="preserve">1 </w:t>
      </w:r>
      <w:r>
        <w:rPr>
          <w:rStyle w:val="32"/>
          <w:rFonts w:hint="eastAsia"/>
        </w:rPr>
        <w:t xml:space="preserve"> 范围</w:t>
      </w:r>
      <w:r>
        <w:tab/>
      </w:r>
      <w:r>
        <w:fldChar w:fldCharType="begin"/>
      </w:r>
      <w:r>
        <w:instrText xml:space="preserve"> PAGEREF _Toc226641040 \h </w:instrText>
      </w:r>
      <w:r>
        <w:fldChar w:fldCharType="separate"/>
      </w:r>
      <w:r>
        <w:t>1</w:t>
      </w:r>
      <w:r>
        <w:fldChar w:fldCharType="end"/>
      </w:r>
      <w:r>
        <w:fldChar w:fldCharType="end"/>
      </w:r>
    </w:p>
    <w:p w14:paraId="63118170">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"_Toc226641041" </w:instrText>
      </w:r>
      <w:r>
        <w:fldChar w:fldCharType="separate"/>
      </w:r>
      <w:r>
        <w:rPr>
          <w:rStyle w:val="32"/>
        </w:rPr>
        <w:t xml:space="preserve">2 </w:t>
      </w:r>
      <w:r>
        <w:rPr>
          <w:rStyle w:val="32"/>
          <w:rFonts w:hint="eastAsia"/>
        </w:rPr>
        <w:t xml:space="preserve"> 规范性引用文件</w:t>
      </w:r>
      <w:r>
        <w:tab/>
      </w:r>
      <w:r>
        <w:fldChar w:fldCharType="begin"/>
      </w:r>
      <w:r>
        <w:instrText xml:space="preserve"> PAGEREF _Toc226641041 \h </w:instrText>
      </w:r>
      <w:r>
        <w:fldChar w:fldCharType="separate"/>
      </w:r>
      <w:r>
        <w:t>1</w:t>
      </w:r>
      <w:r>
        <w:fldChar w:fldCharType="end"/>
      </w:r>
      <w:r>
        <w:fldChar w:fldCharType="end"/>
      </w:r>
    </w:p>
    <w:p w14:paraId="319F9748">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"_Toc226641042" </w:instrText>
      </w:r>
      <w:r>
        <w:fldChar w:fldCharType="separate"/>
      </w:r>
      <w:r>
        <w:rPr>
          <w:rStyle w:val="32"/>
        </w:rPr>
        <w:t xml:space="preserve">3 </w:t>
      </w:r>
      <w:r>
        <w:rPr>
          <w:rStyle w:val="32"/>
          <w:rFonts w:hint="eastAsia"/>
        </w:rPr>
        <w:t xml:space="preserve"> 术语和定义</w:t>
      </w:r>
      <w:r>
        <w:tab/>
      </w:r>
      <w:r>
        <w:fldChar w:fldCharType="begin"/>
      </w:r>
      <w:r>
        <w:instrText xml:space="preserve"> PAGEREF _Toc226641042 \h </w:instrText>
      </w:r>
      <w:r>
        <w:fldChar w:fldCharType="separate"/>
      </w:r>
      <w:r>
        <w:t>1</w:t>
      </w:r>
      <w:r>
        <w:fldChar w:fldCharType="end"/>
      </w:r>
      <w:r>
        <w:fldChar w:fldCharType="end"/>
      </w:r>
    </w:p>
    <w:p w14:paraId="527B66B8">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"_Toc226641043" </w:instrText>
      </w:r>
      <w:r>
        <w:fldChar w:fldCharType="separate"/>
      </w:r>
      <w:r>
        <w:rPr>
          <w:rStyle w:val="32"/>
        </w:rPr>
        <w:t xml:space="preserve">4 </w:t>
      </w:r>
      <w:r>
        <w:rPr>
          <w:rStyle w:val="32"/>
          <w:rFonts w:hint="eastAsia"/>
        </w:rPr>
        <w:t xml:space="preserve"> 主要构件性能要求</w:t>
      </w:r>
      <w:r>
        <w:tab/>
      </w:r>
      <w:r>
        <w:fldChar w:fldCharType="begin"/>
      </w:r>
      <w:r>
        <w:instrText xml:space="preserve"> PAGEREF _Toc226641043 \h </w:instrText>
      </w:r>
      <w:r>
        <w:fldChar w:fldCharType="separate"/>
      </w:r>
      <w:r>
        <w:t>1</w:t>
      </w:r>
      <w:r>
        <w:fldChar w:fldCharType="end"/>
      </w:r>
      <w:r>
        <w:fldChar w:fldCharType="end"/>
      </w:r>
    </w:p>
    <w:p w14:paraId="63207835">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"_Toc226641044" </w:instrText>
      </w:r>
      <w:r>
        <w:fldChar w:fldCharType="separate"/>
      </w:r>
      <w:r>
        <w:rPr>
          <w:rStyle w:val="32"/>
        </w:rPr>
        <w:t xml:space="preserve">5 </w:t>
      </w:r>
      <w:r>
        <w:rPr>
          <w:rStyle w:val="32"/>
          <w:rFonts w:hint="eastAsia"/>
        </w:rPr>
        <w:t xml:space="preserve"> 技术要求</w:t>
      </w:r>
      <w:r>
        <w:tab/>
      </w:r>
      <w:r>
        <w:fldChar w:fldCharType="begin"/>
      </w:r>
      <w:r>
        <w:instrText xml:space="preserve"> PAGEREF _Toc226641044 \h </w:instrText>
      </w:r>
      <w:r>
        <w:fldChar w:fldCharType="separate"/>
      </w:r>
      <w:r>
        <w:t>2</w:t>
      </w:r>
      <w:r>
        <w:fldChar w:fldCharType="end"/>
      </w:r>
      <w:r>
        <w:fldChar w:fldCharType="end"/>
      </w:r>
    </w:p>
    <w:p w14:paraId="6FB08183">
      <w:pPr>
        <w:pStyle w:val="24"/>
        <w:rPr>
          <w:rFonts w:hint="eastAsia" w:asciiTheme="minorHAnsi" w:hAnsiTheme="minorHAnsi" w:eastAsiaTheme="minorEastAsia" w:cstheme="minorBidi"/>
          <w:szCs w:val="22"/>
        </w:rPr>
      </w:pPr>
      <w:r>
        <w:fldChar w:fldCharType="begin"/>
      </w:r>
      <w:r>
        <w:instrText xml:space="preserve"> HYPERLINK \l "_Toc226641045" </w:instrText>
      </w:r>
      <w:r>
        <w:fldChar w:fldCharType="separate"/>
      </w:r>
      <w:r>
        <w:rPr>
          <w:rStyle w:val="32"/>
          <w14:scene3d>
            <w14:lightRig w14:rig="threePt" w14:dir="t">
              <w14:rot w14:lat="0" w14:lon="0" w14:rev="0"/>
            </w14:lightRig>
          </w14:scene3d>
        </w:rPr>
        <w:t xml:space="preserve">5.1 </w:t>
      </w:r>
      <w:r>
        <w:rPr>
          <w:rStyle w:val="32"/>
          <w:rFonts w:hint="eastAsia"/>
        </w:rPr>
        <w:t xml:space="preserve"> 外观</w:t>
      </w:r>
      <w:r>
        <w:tab/>
      </w:r>
      <w:r>
        <w:fldChar w:fldCharType="begin"/>
      </w:r>
      <w:r>
        <w:instrText xml:space="preserve"> PAGEREF _Toc226641045 \h </w:instrText>
      </w:r>
      <w:r>
        <w:fldChar w:fldCharType="separate"/>
      </w:r>
      <w:r>
        <w:t>2</w:t>
      </w:r>
      <w:r>
        <w:fldChar w:fldCharType="end"/>
      </w:r>
      <w:r>
        <w:fldChar w:fldCharType="end"/>
      </w:r>
    </w:p>
    <w:p w14:paraId="61656CE2">
      <w:pPr>
        <w:pStyle w:val="24"/>
        <w:rPr>
          <w:rFonts w:hint="eastAsia" w:asciiTheme="minorHAnsi" w:hAnsiTheme="minorHAnsi" w:eastAsiaTheme="minorEastAsia" w:cstheme="minorBidi"/>
          <w:szCs w:val="22"/>
        </w:rPr>
      </w:pPr>
      <w:r>
        <w:fldChar w:fldCharType="begin"/>
      </w:r>
      <w:r>
        <w:instrText xml:space="preserve"> HYPERLINK \l "_Toc226641046" </w:instrText>
      </w:r>
      <w:r>
        <w:fldChar w:fldCharType="separate"/>
      </w:r>
      <w:r>
        <w:rPr>
          <w:rStyle w:val="32"/>
          <w14:scene3d>
            <w14:lightRig w14:rig="threePt" w14:dir="t">
              <w14:rot w14:lat="0" w14:lon="0" w14:rev="0"/>
            </w14:lightRig>
          </w14:scene3d>
        </w:rPr>
        <w:t xml:space="preserve">5.2 </w:t>
      </w:r>
      <w:r>
        <w:rPr>
          <w:rStyle w:val="32"/>
          <w:rFonts w:hint="eastAsia"/>
        </w:rPr>
        <w:t xml:space="preserve"> 尺寸偏差</w:t>
      </w:r>
      <w:r>
        <w:tab/>
      </w:r>
      <w:r>
        <w:fldChar w:fldCharType="begin"/>
      </w:r>
      <w:r>
        <w:instrText xml:space="preserve"> PAGEREF _Toc226641046 \h </w:instrText>
      </w:r>
      <w:r>
        <w:fldChar w:fldCharType="separate"/>
      </w:r>
      <w:r>
        <w:t>2</w:t>
      </w:r>
      <w:r>
        <w:fldChar w:fldCharType="end"/>
      </w:r>
      <w:r>
        <w:fldChar w:fldCharType="end"/>
      </w:r>
    </w:p>
    <w:p w14:paraId="0B0F0255">
      <w:pPr>
        <w:pStyle w:val="24"/>
        <w:rPr>
          <w:rFonts w:hint="eastAsia" w:asciiTheme="minorHAnsi" w:hAnsiTheme="minorHAnsi" w:eastAsiaTheme="minorEastAsia" w:cstheme="minorBidi"/>
          <w:szCs w:val="22"/>
        </w:rPr>
      </w:pPr>
      <w:r>
        <w:fldChar w:fldCharType="begin"/>
      </w:r>
      <w:r>
        <w:instrText xml:space="preserve"> HYPERLINK \l "_Toc226641047" </w:instrText>
      </w:r>
      <w:r>
        <w:fldChar w:fldCharType="separate"/>
      </w:r>
      <w:r>
        <w:rPr>
          <w:rStyle w:val="32"/>
          <w14:scene3d>
            <w14:lightRig w14:rig="threePt" w14:dir="t">
              <w14:rot w14:lat="0" w14:lon="0" w14:rev="0"/>
            </w14:lightRig>
          </w14:scene3d>
        </w:rPr>
        <w:t xml:space="preserve">5.3 </w:t>
      </w:r>
      <w:r>
        <w:rPr>
          <w:rStyle w:val="32"/>
          <w:rFonts w:hint="eastAsia"/>
        </w:rPr>
        <w:t xml:space="preserve"> 防火性能</w:t>
      </w:r>
      <w:r>
        <w:tab/>
      </w:r>
      <w:r>
        <w:fldChar w:fldCharType="begin"/>
      </w:r>
      <w:r>
        <w:instrText xml:space="preserve"> PAGEREF _Toc226641047 \h </w:instrText>
      </w:r>
      <w:r>
        <w:fldChar w:fldCharType="separate"/>
      </w:r>
      <w:r>
        <w:t>2</w:t>
      </w:r>
      <w:r>
        <w:fldChar w:fldCharType="end"/>
      </w:r>
      <w:r>
        <w:fldChar w:fldCharType="end"/>
      </w:r>
    </w:p>
    <w:p w14:paraId="59D91D64">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"_Toc226641048" </w:instrText>
      </w:r>
      <w:r>
        <w:fldChar w:fldCharType="separate"/>
      </w:r>
      <w:r>
        <w:rPr>
          <w:rStyle w:val="32"/>
        </w:rPr>
        <w:t xml:space="preserve">6 </w:t>
      </w:r>
      <w:r>
        <w:rPr>
          <w:rStyle w:val="32"/>
          <w:rFonts w:hint="eastAsia"/>
        </w:rPr>
        <w:t xml:space="preserve"> 试验方法</w:t>
      </w:r>
      <w:r>
        <w:tab/>
      </w:r>
      <w:r>
        <w:fldChar w:fldCharType="begin"/>
      </w:r>
      <w:r>
        <w:instrText xml:space="preserve"> PAGEREF _Toc226641048 \h </w:instrText>
      </w:r>
      <w:r>
        <w:fldChar w:fldCharType="separate"/>
      </w:r>
      <w:r>
        <w:t>2</w:t>
      </w:r>
      <w:r>
        <w:fldChar w:fldCharType="end"/>
      </w:r>
      <w:r>
        <w:fldChar w:fldCharType="end"/>
      </w:r>
    </w:p>
    <w:p w14:paraId="79496D1A">
      <w:pPr>
        <w:pStyle w:val="24"/>
        <w:rPr>
          <w:rFonts w:hint="eastAsia" w:asciiTheme="minorHAnsi" w:hAnsiTheme="minorHAnsi" w:eastAsiaTheme="minorEastAsia" w:cstheme="minorBidi"/>
          <w:szCs w:val="22"/>
        </w:rPr>
      </w:pPr>
      <w:r>
        <w:fldChar w:fldCharType="begin"/>
      </w:r>
      <w:r>
        <w:instrText xml:space="preserve"> HYPERLINK \l "_Toc226641049" </w:instrText>
      </w:r>
      <w:r>
        <w:fldChar w:fldCharType="separate"/>
      </w:r>
      <w:r>
        <w:rPr>
          <w:rStyle w:val="32"/>
          <w14:scene3d>
            <w14:lightRig w14:rig="threePt" w14:dir="t">
              <w14:rot w14:lat="0" w14:lon="0" w14:rev="0"/>
            </w14:lightRig>
          </w14:scene3d>
        </w:rPr>
        <w:t xml:space="preserve">6.1 </w:t>
      </w:r>
      <w:r>
        <w:rPr>
          <w:rStyle w:val="32"/>
          <w:rFonts w:hint="eastAsia"/>
        </w:rPr>
        <w:t xml:space="preserve"> 外观</w:t>
      </w:r>
      <w:r>
        <w:tab/>
      </w:r>
      <w:r>
        <w:fldChar w:fldCharType="begin"/>
      </w:r>
      <w:r>
        <w:instrText xml:space="preserve"> PAGEREF _Toc226641049 \h </w:instrText>
      </w:r>
      <w:r>
        <w:fldChar w:fldCharType="separate"/>
      </w:r>
      <w:r>
        <w:t>2</w:t>
      </w:r>
      <w:r>
        <w:fldChar w:fldCharType="end"/>
      </w:r>
      <w:r>
        <w:fldChar w:fldCharType="end"/>
      </w:r>
    </w:p>
    <w:p w14:paraId="10EB6E3E">
      <w:pPr>
        <w:pStyle w:val="24"/>
        <w:rPr>
          <w:rFonts w:hint="eastAsia" w:asciiTheme="minorHAnsi" w:hAnsiTheme="minorHAnsi" w:eastAsiaTheme="minorEastAsia" w:cstheme="minorBidi"/>
          <w:szCs w:val="22"/>
        </w:rPr>
      </w:pPr>
      <w:r>
        <w:fldChar w:fldCharType="begin"/>
      </w:r>
      <w:r>
        <w:instrText xml:space="preserve"> HYPERLINK \l "_Toc226641050" </w:instrText>
      </w:r>
      <w:r>
        <w:fldChar w:fldCharType="separate"/>
      </w:r>
      <w:r>
        <w:rPr>
          <w:rStyle w:val="32"/>
          <w14:scene3d>
            <w14:lightRig w14:rig="threePt" w14:dir="t">
              <w14:rot w14:lat="0" w14:lon="0" w14:rev="0"/>
            </w14:lightRig>
          </w14:scene3d>
        </w:rPr>
        <w:t xml:space="preserve">6.2 </w:t>
      </w:r>
      <w:r>
        <w:rPr>
          <w:rStyle w:val="32"/>
          <w:rFonts w:hint="eastAsia"/>
        </w:rPr>
        <w:t xml:space="preserve"> 尺寸偏差</w:t>
      </w:r>
      <w:r>
        <w:tab/>
      </w:r>
      <w:r>
        <w:fldChar w:fldCharType="begin"/>
      </w:r>
      <w:r>
        <w:instrText xml:space="preserve"> PAGEREF _Toc226641050 \h </w:instrText>
      </w:r>
      <w:r>
        <w:fldChar w:fldCharType="separate"/>
      </w:r>
      <w:r>
        <w:t>2</w:t>
      </w:r>
      <w:r>
        <w:fldChar w:fldCharType="end"/>
      </w:r>
      <w:r>
        <w:fldChar w:fldCharType="end"/>
      </w:r>
    </w:p>
    <w:p w14:paraId="32F0F44D">
      <w:pPr>
        <w:pStyle w:val="24"/>
        <w:rPr>
          <w:rFonts w:hint="eastAsia" w:asciiTheme="minorHAnsi" w:hAnsiTheme="minorHAnsi" w:eastAsiaTheme="minorEastAsia" w:cstheme="minorBidi"/>
          <w:szCs w:val="22"/>
        </w:rPr>
      </w:pPr>
      <w:r>
        <w:fldChar w:fldCharType="begin"/>
      </w:r>
      <w:r>
        <w:instrText xml:space="preserve"> HYPERLINK \l "_Toc226641051" </w:instrText>
      </w:r>
      <w:r>
        <w:fldChar w:fldCharType="separate"/>
      </w:r>
      <w:r>
        <w:rPr>
          <w:rStyle w:val="32"/>
          <w14:scene3d>
            <w14:lightRig w14:rig="threePt" w14:dir="t">
              <w14:rot w14:lat="0" w14:lon="0" w14:rev="0"/>
            </w14:lightRig>
          </w14:scene3d>
        </w:rPr>
        <w:t xml:space="preserve">6.3 </w:t>
      </w:r>
      <w:r>
        <w:rPr>
          <w:rStyle w:val="32"/>
          <w:rFonts w:hint="eastAsia"/>
        </w:rPr>
        <w:t xml:space="preserve"> 防火性能</w:t>
      </w:r>
      <w:r>
        <w:tab/>
      </w:r>
      <w:r>
        <w:fldChar w:fldCharType="begin"/>
      </w:r>
      <w:r>
        <w:instrText xml:space="preserve"> PAGEREF _Toc226641051 \h </w:instrText>
      </w:r>
      <w:r>
        <w:fldChar w:fldCharType="separate"/>
      </w:r>
      <w:r>
        <w:t>2</w:t>
      </w:r>
      <w:r>
        <w:fldChar w:fldCharType="end"/>
      </w:r>
      <w:r>
        <w:fldChar w:fldCharType="end"/>
      </w:r>
    </w:p>
    <w:p w14:paraId="60D8F527">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"_Toc226641052" </w:instrText>
      </w:r>
      <w:r>
        <w:fldChar w:fldCharType="separate"/>
      </w:r>
      <w:r>
        <w:rPr>
          <w:rStyle w:val="32"/>
        </w:rPr>
        <w:t xml:space="preserve">7 </w:t>
      </w:r>
      <w:r>
        <w:rPr>
          <w:rStyle w:val="32"/>
          <w:rFonts w:hint="eastAsia"/>
        </w:rPr>
        <w:t xml:space="preserve"> 检验规则</w:t>
      </w:r>
      <w:r>
        <w:tab/>
      </w:r>
      <w:r>
        <w:fldChar w:fldCharType="begin"/>
      </w:r>
      <w:r>
        <w:instrText xml:space="preserve"> PAGEREF _Toc226641052 \h </w:instrText>
      </w:r>
      <w:r>
        <w:fldChar w:fldCharType="separate"/>
      </w:r>
      <w:r>
        <w:t>2</w:t>
      </w:r>
      <w:r>
        <w:fldChar w:fldCharType="end"/>
      </w:r>
      <w:r>
        <w:fldChar w:fldCharType="end"/>
      </w:r>
    </w:p>
    <w:p w14:paraId="7E41C86F">
      <w:pPr>
        <w:pStyle w:val="24"/>
        <w:rPr>
          <w:rFonts w:hint="eastAsia" w:asciiTheme="minorHAnsi" w:hAnsiTheme="minorHAnsi" w:eastAsiaTheme="minorEastAsia" w:cstheme="minorBidi"/>
          <w:szCs w:val="22"/>
        </w:rPr>
      </w:pPr>
      <w:r>
        <w:fldChar w:fldCharType="begin"/>
      </w:r>
      <w:r>
        <w:instrText xml:space="preserve"> HYPERLINK \l "_Toc226641053" </w:instrText>
      </w:r>
      <w:r>
        <w:fldChar w:fldCharType="separate"/>
      </w:r>
      <w:r>
        <w:rPr>
          <w:rStyle w:val="32"/>
          <w14:scene3d>
            <w14:lightRig w14:rig="threePt" w14:dir="t">
              <w14:rot w14:lat="0" w14:lon="0" w14:rev="0"/>
            </w14:lightRig>
          </w14:scene3d>
        </w:rPr>
        <w:t xml:space="preserve">7.1 </w:t>
      </w:r>
      <w:r>
        <w:rPr>
          <w:rStyle w:val="32"/>
          <w:rFonts w:hint="eastAsia"/>
        </w:rPr>
        <w:t xml:space="preserve"> 检验分类</w:t>
      </w:r>
      <w:r>
        <w:tab/>
      </w:r>
      <w:r>
        <w:fldChar w:fldCharType="begin"/>
      </w:r>
      <w:r>
        <w:instrText xml:space="preserve"> PAGEREF _Toc226641053 \h </w:instrText>
      </w:r>
      <w:r>
        <w:fldChar w:fldCharType="separate"/>
      </w:r>
      <w:r>
        <w:t>2</w:t>
      </w:r>
      <w:r>
        <w:fldChar w:fldCharType="end"/>
      </w:r>
      <w:r>
        <w:fldChar w:fldCharType="end"/>
      </w:r>
    </w:p>
    <w:p w14:paraId="3CB34069">
      <w:pPr>
        <w:pStyle w:val="24"/>
        <w:rPr>
          <w:rFonts w:hint="eastAsia" w:asciiTheme="minorHAnsi" w:hAnsiTheme="minorHAnsi" w:eastAsiaTheme="minorEastAsia" w:cstheme="minorBidi"/>
          <w:szCs w:val="22"/>
        </w:rPr>
      </w:pPr>
      <w:r>
        <w:fldChar w:fldCharType="begin"/>
      </w:r>
      <w:r>
        <w:instrText xml:space="preserve"> HYPERLINK \l "_Toc226641054" </w:instrText>
      </w:r>
      <w:r>
        <w:fldChar w:fldCharType="separate"/>
      </w:r>
      <w:r>
        <w:rPr>
          <w:rStyle w:val="32"/>
          <w14:scene3d>
            <w14:lightRig w14:rig="threePt" w14:dir="t">
              <w14:rot w14:lat="0" w14:lon="0" w14:rev="0"/>
            </w14:lightRig>
          </w14:scene3d>
        </w:rPr>
        <w:t xml:space="preserve">7.2 </w:t>
      </w:r>
      <w:r>
        <w:rPr>
          <w:rStyle w:val="32"/>
          <w:rFonts w:hint="eastAsia"/>
        </w:rPr>
        <w:t xml:space="preserve"> 出厂检验</w:t>
      </w:r>
      <w:r>
        <w:tab/>
      </w:r>
      <w:r>
        <w:fldChar w:fldCharType="begin"/>
      </w:r>
      <w:r>
        <w:instrText xml:space="preserve"> PAGEREF _Toc226641054 \h </w:instrText>
      </w:r>
      <w:r>
        <w:fldChar w:fldCharType="separate"/>
      </w:r>
      <w:r>
        <w:t>2</w:t>
      </w:r>
      <w:r>
        <w:fldChar w:fldCharType="end"/>
      </w:r>
      <w:r>
        <w:fldChar w:fldCharType="end"/>
      </w:r>
    </w:p>
    <w:p w14:paraId="43BAE02D">
      <w:pPr>
        <w:pStyle w:val="24"/>
        <w:rPr>
          <w:rFonts w:hint="eastAsia" w:asciiTheme="minorHAnsi" w:hAnsiTheme="minorHAnsi" w:eastAsiaTheme="minorEastAsia" w:cstheme="minorBidi"/>
          <w:szCs w:val="22"/>
        </w:rPr>
      </w:pPr>
      <w:r>
        <w:fldChar w:fldCharType="begin"/>
      </w:r>
      <w:r>
        <w:instrText xml:space="preserve"> HYPERLINK \l "_Toc226641055" </w:instrText>
      </w:r>
      <w:r>
        <w:fldChar w:fldCharType="separate"/>
      </w:r>
      <w:r>
        <w:rPr>
          <w:rStyle w:val="32"/>
          <w14:scene3d>
            <w14:lightRig w14:rig="threePt" w14:dir="t">
              <w14:rot w14:lat="0" w14:lon="0" w14:rev="0"/>
            </w14:lightRig>
          </w14:scene3d>
        </w:rPr>
        <w:t xml:space="preserve">7.3 </w:t>
      </w:r>
      <w:r>
        <w:rPr>
          <w:rStyle w:val="32"/>
          <w:rFonts w:hint="eastAsia"/>
        </w:rPr>
        <w:t xml:space="preserve"> 型式检验</w:t>
      </w:r>
      <w:r>
        <w:tab/>
      </w:r>
      <w:r>
        <w:fldChar w:fldCharType="begin"/>
      </w:r>
      <w:r>
        <w:instrText xml:space="preserve"> PAGEREF _Toc226641055 \h </w:instrText>
      </w:r>
      <w:r>
        <w:fldChar w:fldCharType="separate"/>
      </w:r>
      <w:r>
        <w:t>3</w:t>
      </w:r>
      <w:r>
        <w:fldChar w:fldCharType="end"/>
      </w:r>
      <w:r>
        <w:fldChar w:fldCharType="end"/>
      </w:r>
    </w:p>
    <w:p w14:paraId="7336E4A1">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"_Toc226641056" </w:instrText>
      </w:r>
      <w:r>
        <w:fldChar w:fldCharType="separate"/>
      </w:r>
      <w:r>
        <w:rPr>
          <w:rStyle w:val="32"/>
        </w:rPr>
        <w:t xml:space="preserve">8 </w:t>
      </w:r>
      <w:r>
        <w:rPr>
          <w:rStyle w:val="32"/>
          <w:rFonts w:hint="eastAsia"/>
        </w:rPr>
        <w:t xml:space="preserve"> 标志、包装、运输和贮存</w:t>
      </w:r>
      <w:r>
        <w:tab/>
      </w:r>
      <w:r>
        <w:fldChar w:fldCharType="begin"/>
      </w:r>
      <w:r>
        <w:instrText xml:space="preserve"> PAGEREF _Toc226641056 \h </w:instrText>
      </w:r>
      <w:r>
        <w:fldChar w:fldCharType="separate"/>
      </w:r>
      <w:r>
        <w:t>3</w:t>
      </w:r>
      <w:r>
        <w:fldChar w:fldCharType="end"/>
      </w:r>
      <w:r>
        <w:fldChar w:fldCharType="end"/>
      </w:r>
    </w:p>
    <w:p w14:paraId="1BEDDCDE">
      <w:pPr>
        <w:pStyle w:val="24"/>
        <w:rPr>
          <w:rFonts w:hint="eastAsia" w:asciiTheme="minorHAnsi" w:hAnsiTheme="minorHAnsi" w:eastAsiaTheme="minorEastAsia" w:cstheme="minorBidi"/>
          <w:szCs w:val="22"/>
        </w:rPr>
      </w:pPr>
      <w:r>
        <w:fldChar w:fldCharType="begin"/>
      </w:r>
      <w:r>
        <w:instrText xml:space="preserve"> HYPERLINK \l "_Toc226641057" </w:instrText>
      </w:r>
      <w:r>
        <w:fldChar w:fldCharType="separate"/>
      </w:r>
      <w:r>
        <w:rPr>
          <w:rStyle w:val="32"/>
          <w14:scene3d>
            <w14:lightRig w14:rig="threePt" w14:dir="t">
              <w14:rot w14:lat="0" w14:lon="0" w14:rev="0"/>
            </w14:lightRig>
          </w14:scene3d>
        </w:rPr>
        <w:t xml:space="preserve">8.1 </w:t>
      </w:r>
      <w:r>
        <w:rPr>
          <w:rStyle w:val="32"/>
          <w:rFonts w:hint="eastAsia"/>
        </w:rPr>
        <w:t xml:space="preserve"> 标志</w:t>
      </w:r>
      <w:r>
        <w:tab/>
      </w:r>
      <w:r>
        <w:fldChar w:fldCharType="begin"/>
      </w:r>
      <w:r>
        <w:instrText xml:space="preserve"> PAGEREF _Toc226641057 \h </w:instrText>
      </w:r>
      <w:r>
        <w:fldChar w:fldCharType="separate"/>
      </w:r>
      <w:r>
        <w:t>3</w:t>
      </w:r>
      <w:r>
        <w:fldChar w:fldCharType="end"/>
      </w:r>
      <w:r>
        <w:fldChar w:fldCharType="end"/>
      </w:r>
    </w:p>
    <w:p w14:paraId="0F3EE52D">
      <w:pPr>
        <w:pStyle w:val="24"/>
        <w:rPr>
          <w:rFonts w:hint="eastAsia" w:asciiTheme="minorHAnsi" w:hAnsiTheme="minorHAnsi" w:eastAsiaTheme="minorEastAsia" w:cstheme="minorBidi"/>
          <w:szCs w:val="22"/>
        </w:rPr>
      </w:pPr>
      <w:r>
        <w:fldChar w:fldCharType="begin"/>
      </w:r>
      <w:r>
        <w:instrText xml:space="preserve"> HYPERLINK \l "_Toc226641058" </w:instrText>
      </w:r>
      <w:r>
        <w:fldChar w:fldCharType="separate"/>
      </w:r>
      <w:r>
        <w:rPr>
          <w:rStyle w:val="32"/>
          <w14:scene3d>
            <w14:lightRig w14:rig="threePt" w14:dir="t">
              <w14:rot w14:lat="0" w14:lon="0" w14:rev="0"/>
            </w14:lightRig>
          </w14:scene3d>
        </w:rPr>
        <w:t xml:space="preserve">8.2 </w:t>
      </w:r>
      <w:r>
        <w:rPr>
          <w:rStyle w:val="32"/>
          <w:rFonts w:hint="eastAsia"/>
        </w:rPr>
        <w:t xml:space="preserve"> 包装</w:t>
      </w:r>
      <w:r>
        <w:tab/>
      </w:r>
      <w:r>
        <w:fldChar w:fldCharType="begin"/>
      </w:r>
      <w:r>
        <w:instrText xml:space="preserve"> PAGEREF _Toc226641058 \h </w:instrText>
      </w:r>
      <w:r>
        <w:fldChar w:fldCharType="separate"/>
      </w:r>
      <w:r>
        <w:t>3</w:t>
      </w:r>
      <w:r>
        <w:fldChar w:fldCharType="end"/>
      </w:r>
      <w:r>
        <w:fldChar w:fldCharType="end"/>
      </w:r>
    </w:p>
    <w:p w14:paraId="7AEAAF7C">
      <w:pPr>
        <w:pStyle w:val="24"/>
        <w:rPr>
          <w:rFonts w:hint="eastAsia" w:asciiTheme="minorHAnsi" w:hAnsiTheme="minorHAnsi" w:eastAsiaTheme="minorEastAsia" w:cstheme="minorBidi"/>
          <w:szCs w:val="22"/>
        </w:rPr>
      </w:pPr>
      <w:r>
        <w:fldChar w:fldCharType="begin"/>
      </w:r>
      <w:r>
        <w:instrText xml:space="preserve"> HYPERLINK \l "_Toc226641059" </w:instrText>
      </w:r>
      <w:r>
        <w:fldChar w:fldCharType="separate"/>
      </w:r>
      <w:r>
        <w:rPr>
          <w:rStyle w:val="32"/>
          <w14:scene3d>
            <w14:lightRig w14:rig="threePt" w14:dir="t">
              <w14:rot w14:lat="0" w14:lon="0" w14:rev="0"/>
            </w14:lightRig>
          </w14:scene3d>
        </w:rPr>
        <w:t xml:space="preserve">8.3 </w:t>
      </w:r>
      <w:r>
        <w:rPr>
          <w:rStyle w:val="32"/>
          <w:rFonts w:hint="eastAsia"/>
        </w:rPr>
        <w:t xml:space="preserve"> 运输</w:t>
      </w:r>
      <w:r>
        <w:tab/>
      </w:r>
      <w:r>
        <w:fldChar w:fldCharType="begin"/>
      </w:r>
      <w:r>
        <w:instrText xml:space="preserve"> PAGEREF _Toc226641059 \h </w:instrText>
      </w:r>
      <w:r>
        <w:fldChar w:fldCharType="separate"/>
      </w:r>
      <w:r>
        <w:t>3</w:t>
      </w:r>
      <w:r>
        <w:fldChar w:fldCharType="end"/>
      </w:r>
      <w:r>
        <w:fldChar w:fldCharType="end"/>
      </w:r>
    </w:p>
    <w:p w14:paraId="185B1479">
      <w:pPr>
        <w:pStyle w:val="24"/>
        <w:rPr>
          <w:rFonts w:hint="eastAsia" w:asciiTheme="minorHAnsi" w:hAnsiTheme="minorHAnsi" w:eastAsiaTheme="minorEastAsia" w:cstheme="minorBidi"/>
          <w:szCs w:val="22"/>
        </w:rPr>
      </w:pPr>
      <w:r>
        <w:fldChar w:fldCharType="begin"/>
      </w:r>
      <w:r>
        <w:instrText xml:space="preserve"> HYPERLINK \l "_Toc226641060" </w:instrText>
      </w:r>
      <w:r>
        <w:fldChar w:fldCharType="separate"/>
      </w:r>
      <w:r>
        <w:rPr>
          <w:rStyle w:val="32"/>
          <w14:scene3d>
            <w14:lightRig w14:rig="threePt" w14:dir="t">
              <w14:rot w14:lat="0" w14:lon="0" w14:rev="0"/>
            </w14:lightRig>
          </w14:scene3d>
        </w:rPr>
        <w:t xml:space="preserve">8.4 </w:t>
      </w:r>
      <w:r>
        <w:rPr>
          <w:rStyle w:val="32"/>
          <w:rFonts w:hint="eastAsia"/>
        </w:rPr>
        <w:t xml:space="preserve"> 贮存</w:t>
      </w:r>
      <w:r>
        <w:tab/>
      </w:r>
      <w:r>
        <w:fldChar w:fldCharType="begin"/>
      </w:r>
      <w:r>
        <w:instrText xml:space="preserve"> PAGEREF _Toc226641060 \h </w:instrText>
      </w:r>
      <w:r>
        <w:fldChar w:fldCharType="separate"/>
      </w:r>
      <w:r>
        <w:t>3</w:t>
      </w:r>
      <w:r>
        <w:fldChar w:fldCharType="end"/>
      </w:r>
      <w:r>
        <w:fldChar w:fldCharType="end"/>
      </w:r>
    </w:p>
    <w:p w14:paraId="792D1323">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"_Toc226641061" </w:instrText>
      </w:r>
      <w:r>
        <w:fldChar w:fldCharType="separate"/>
      </w:r>
      <w:r>
        <w:rPr>
          <w:rStyle w:val="32"/>
          <w:rFonts w:hint="eastAsia"/>
        </w:rPr>
        <w:t>附录A（规范性）</w:t>
      </w:r>
      <w:r>
        <w:rPr>
          <w:rStyle w:val="32"/>
        </w:rPr>
        <w:t xml:space="preserve">  </w:t>
      </w:r>
      <w:r>
        <w:rPr>
          <w:rStyle w:val="32"/>
          <w:rFonts w:hint="eastAsia"/>
        </w:rPr>
        <w:t>防火性能试验</w:t>
      </w:r>
      <w:r>
        <w:tab/>
      </w:r>
      <w:r>
        <w:fldChar w:fldCharType="begin"/>
      </w:r>
      <w:r>
        <w:instrText xml:space="preserve"> PAGEREF _Toc226641061 \h </w:instrText>
      </w:r>
      <w:r>
        <w:fldChar w:fldCharType="separate"/>
      </w:r>
      <w:r>
        <w:t>4</w:t>
      </w:r>
      <w:r>
        <w:fldChar w:fldCharType="end"/>
      </w:r>
      <w:r>
        <w:fldChar w:fldCharType="end"/>
      </w:r>
    </w:p>
    <w:p w14:paraId="514413DC">
      <w:pPr>
        <w:pStyle w:val="24"/>
        <w:rPr>
          <w:rFonts w:hint="eastAsia" w:asciiTheme="minorHAnsi" w:hAnsiTheme="minorHAnsi" w:eastAsiaTheme="minorEastAsia" w:cstheme="minorBidi"/>
          <w:szCs w:val="22"/>
        </w:rPr>
      </w:pPr>
      <w:r>
        <w:fldChar w:fldCharType="begin"/>
      </w:r>
      <w:r>
        <w:instrText xml:space="preserve"> HYPERLINK \l "_Toc226641062" </w:instrText>
      </w:r>
      <w:r>
        <w:fldChar w:fldCharType="separate"/>
      </w:r>
      <w:r>
        <w:rPr>
          <w:rStyle w:val="32"/>
        </w:rPr>
        <w:t xml:space="preserve">A.1 </w:t>
      </w:r>
      <w:r>
        <w:rPr>
          <w:rStyle w:val="32"/>
          <w:rFonts w:hint="eastAsia"/>
        </w:rPr>
        <w:t xml:space="preserve"> 试验样品</w:t>
      </w:r>
      <w:r>
        <w:tab/>
      </w:r>
      <w:r>
        <w:fldChar w:fldCharType="begin"/>
      </w:r>
      <w:r>
        <w:instrText xml:space="preserve"> PAGEREF _Toc226641062 \h </w:instrText>
      </w:r>
      <w:r>
        <w:fldChar w:fldCharType="separate"/>
      </w:r>
      <w:r>
        <w:t>4</w:t>
      </w:r>
      <w:r>
        <w:fldChar w:fldCharType="end"/>
      </w:r>
      <w:r>
        <w:fldChar w:fldCharType="end"/>
      </w:r>
    </w:p>
    <w:p w14:paraId="3BBAB95C">
      <w:pPr>
        <w:pStyle w:val="24"/>
        <w:rPr>
          <w:rFonts w:hint="eastAsia" w:asciiTheme="minorHAnsi" w:hAnsiTheme="minorHAnsi" w:eastAsiaTheme="minorEastAsia" w:cstheme="minorBidi"/>
          <w:szCs w:val="22"/>
        </w:rPr>
      </w:pPr>
      <w:r>
        <w:fldChar w:fldCharType="begin"/>
      </w:r>
      <w:r>
        <w:instrText xml:space="preserve"> HYPERLINK \l "_Toc226641063" </w:instrText>
      </w:r>
      <w:r>
        <w:fldChar w:fldCharType="separate"/>
      </w:r>
      <w:r>
        <w:rPr>
          <w:rStyle w:val="32"/>
        </w:rPr>
        <w:t xml:space="preserve">A.2 </w:t>
      </w:r>
      <w:r>
        <w:rPr>
          <w:rStyle w:val="32"/>
          <w:rFonts w:hint="eastAsia"/>
        </w:rPr>
        <w:t xml:space="preserve"> 试验准备</w:t>
      </w:r>
      <w:r>
        <w:tab/>
      </w:r>
      <w:r>
        <w:fldChar w:fldCharType="begin"/>
      </w:r>
      <w:r>
        <w:instrText xml:space="preserve"> PAGEREF _Toc226641063 \h </w:instrText>
      </w:r>
      <w:r>
        <w:fldChar w:fldCharType="separate"/>
      </w:r>
      <w:r>
        <w:t>4</w:t>
      </w:r>
      <w:r>
        <w:fldChar w:fldCharType="end"/>
      </w:r>
      <w:r>
        <w:fldChar w:fldCharType="end"/>
      </w:r>
    </w:p>
    <w:p w14:paraId="0565E17B">
      <w:pPr>
        <w:pStyle w:val="24"/>
        <w:rPr>
          <w:rFonts w:hint="eastAsia" w:asciiTheme="minorHAnsi" w:hAnsiTheme="minorHAnsi" w:eastAsiaTheme="minorEastAsia" w:cstheme="minorBidi"/>
          <w:szCs w:val="22"/>
        </w:rPr>
      </w:pPr>
      <w:r>
        <w:fldChar w:fldCharType="begin"/>
      </w:r>
      <w:r>
        <w:instrText xml:space="preserve"> HYPERLINK \l "_Toc226641064" </w:instrText>
      </w:r>
      <w:r>
        <w:fldChar w:fldCharType="separate"/>
      </w:r>
      <w:r>
        <w:rPr>
          <w:rStyle w:val="32"/>
        </w:rPr>
        <w:t xml:space="preserve">A.3 </w:t>
      </w:r>
      <w:r>
        <w:rPr>
          <w:rStyle w:val="32"/>
          <w:rFonts w:hint="eastAsia"/>
        </w:rPr>
        <w:t xml:space="preserve"> 试验步骤</w:t>
      </w:r>
      <w:r>
        <w:tab/>
      </w:r>
      <w:r>
        <w:fldChar w:fldCharType="begin"/>
      </w:r>
      <w:r>
        <w:instrText xml:space="preserve"> PAGEREF _Toc226641064 \h </w:instrText>
      </w:r>
      <w:r>
        <w:fldChar w:fldCharType="separate"/>
      </w:r>
      <w:r>
        <w:t>7</w:t>
      </w:r>
      <w:r>
        <w:fldChar w:fldCharType="end"/>
      </w:r>
      <w:r>
        <w:fldChar w:fldCharType="end"/>
      </w:r>
    </w:p>
    <w:p w14:paraId="3087E41B">
      <w:pPr>
        <w:pStyle w:val="24"/>
        <w:rPr>
          <w:rFonts w:hint="eastAsia" w:asciiTheme="minorHAnsi" w:hAnsiTheme="minorHAnsi" w:eastAsiaTheme="minorEastAsia" w:cstheme="minorBidi"/>
          <w:szCs w:val="22"/>
        </w:rPr>
      </w:pPr>
      <w:r>
        <w:fldChar w:fldCharType="begin"/>
      </w:r>
      <w:r>
        <w:instrText xml:space="preserve"> HYPERLINK \l "_Toc226641065" </w:instrText>
      </w:r>
      <w:r>
        <w:fldChar w:fldCharType="separate"/>
      </w:r>
      <w:r>
        <w:rPr>
          <w:rStyle w:val="32"/>
        </w:rPr>
        <w:t xml:space="preserve">A.4 </w:t>
      </w:r>
      <w:r>
        <w:rPr>
          <w:rStyle w:val="32"/>
          <w:rFonts w:hint="eastAsia"/>
        </w:rPr>
        <w:t xml:space="preserve"> 试验记录</w:t>
      </w:r>
      <w:r>
        <w:tab/>
      </w:r>
      <w:r>
        <w:fldChar w:fldCharType="begin"/>
      </w:r>
      <w:r>
        <w:instrText xml:space="preserve"> PAGEREF _Toc226641065 \h </w:instrText>
      </w:r>
      <w:r>
        <w:fldChar w:fldCharType="separate"/>
      </w:r>
      <w:r>
        <w:t>7</w:t>
      </w:r>
      <w:r>
        <w:fldChar w:fldCharType="end"/>
      </w:r>
      <w:r>
        <w:fldChar w:fldCharType="end"/>
      </w:r>
    </w:p>
    <w:p w14:paraId="6846B107">
      <w:pPr>
        <w:pStyle w:val="24"/>
        <w:rPr>
          <w:rFonts w:hint="eastAsia" w:asciiTheme="minorHAnsi" w:hAnsiTheme="minorHAnsi" w:eastAsiaTheme="minorEastAsia" w:cstheme="minorBidi"/>
          <w:szCs w:val="22"/>
        </w:rPr>
      </w:pPr>
      <w:r>
        <w:fldChar w:fldCharType="begin"/>
      </w:r>
      <w:r>
        <w:instrText xml:space="preserve"> HYPERLINK \l "_Toc226641066" </w:instrText>
      </w:r>
      <w:r>
        <w:fldChar w:fldCharType="separate"/>
      </w:r>
      <w:r>
        <w:rPr>
          <w:rStyle w:val="32"/>
        </w:rPr>
        <w:t xml:space="preserve">A.5 </w:t>
      </w:r>
      <w:r>
        <w:rPr>
          <w:rStyle w:val="32"/>
          <w:rFonts w:hint="eastAsia"/>
        </w:rPr>
        <w:t xml:space="preserve"> 结果判定</w:t>
      </w:r>
      <w:r>
        <w:tab/>
      </w:r>
      <w:r>
        <w:fldChar w:fldCharType="begin"/>
      </w:r>
      <w:r>
        <w:instrText xml:space="preserve"> PAGEREF _Toc226641066 \h </w:instrText>
      </w:r>
      <w:r>
        <w:fldChar w:fldCharType="separate"/>
      </w:r>
      <w:r>
        <w:t>8</w:t>
      </w:r>
      <w:r>
        <w:fldChar w:fldCharType="end"/>
      </w:r>
      <w:r>
        <w:fldChar w:fldCharType="end"/>
      </w:r>
    </w:p>
    <w:p w14:paraId="7B0255D9">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"_Toc226641067" </w:instrText>
      </w:r>
      <w:r>
        <w:fldChar w:fldCharType="separate"/>
      </w:r>
      <w:r>
        <w:rPr>
          <w:rStyle w:val="32"/>
          <w:rFonts w:hint="eastAsia"/>
        </w:rPr>
        <w:t>参考文献</w:t>
      </w:r>
      <w:r>
        <w:tab/>
      </w:r>
      <w:r>
        <w:fldChar w:fldCharType="begin"/>
      </w:r>
      <w:r>
        <w:instrText xml:space="preserve"> PAGEREF _Toc226641067 \h </w:instrText>
      </w:r>
      <w:r>
        <w:fldChar w:fldCharType="separate"/>
      </w:r>
      <w:r>
        <w:t>9</w:t>
      </w:r>
      <w:r>
        <w:fldChar w:fldCharType="end"/>
      </w:r>
      <w:r>
        <w:fldChar w:fldCharType="end"/>
      </w:r>
    </w:p>
    <w:p w14:paraId="23A44CC9">
      <w:pPr>
        <w:pStyle w:val="91"/>
        <w:spacing w:after="360"/>
        <w:sectPr>
          <w:headerReference r:id="rId9" w:type="default"/>
          <w:footerReference r:id="rId11" w:type="default"/>
          <w:headerReference r:id="rId10" w:type="even"/>
          <w:pgSz w:w="11906" w:h="16838"/>
          <w:pgMar w:top="2410" w:right="1134" w:bottom="1134" w:left="1134" w:header="1418" w:footer="1134" w:gutter="284"/>
          <w:pgNumType w:fmt="upperRoman" w:start="1"/>
          <w:cols w:space="425" w:num="1"/>
          <w:formProt w:val="0"/>
          <w:docGrid w:linePitch="312" w:charSpace="0"/>
        </w:sectPr>
      </w:pPr>
      <w:r>
        <w:fldChar w:fldCharType="end"/>
      </w:r>
    </w:p>
    <w:bookmarkEnd w:id="19"/>
    <w:p w14:paraId="712284AC">
      <w:pPr>
        <w:pStyle w:val="89"/>
        <w:spacing w:after="360"/>
      </w:pPr>
      <w:bookmarkStart w:id="30" w:name="_Toc226641039"/>
      <w:bookmarkStart w:id="31" w:name="BookMark2"/>
      <w:r>
        <w:rPr>
          <w:spacing w:val="320"/>
        </w:rPr>
        <w:t>前</w:t>
      </w:r>
      <w:r>
        <w:t>言</w:t>
      </w:r>
      <w:bookmarkEnd w:id="20"/>
      <w:bookmarkEnd w:id="21"/>
      <w:bookmarkEnd w:id="22"/>
      <w:bookmarkEnd w:id="23"/>
      <w:bookmarkEnd w:id="24"/>
      <w:bookmarkEnd w:id="25"/>
      <w:bookmarkEnd w:id="26"/>
      <w:bookmarkEnd w:id="27"/>
      <w:bookmarkEnd w:id="28"/>
      <w:bookmarkEnd w:id="29"/>
      <w:bookmarkEnd w:id="30"/>
    </w:p>
    <w:p w14:paraId="5448A987">
      <w:pPr>
        <w:pStyle w:val="56"/>
        <w:spacing w:line="288" w:lineRule="auto"/>
        <w:ind w:firstLine="420"/>
      </w:pPr>
      <w:r>
        <w:rPr>
          <w:rFonts w:hint="eastAsia"/>
        </w:rPr>
        <w:t>本文件按照GB/T 1.1—2020《标准化工作导则  第1部分：标准化文件的结构和起草规则》的规定起草。</w:t>
      </w:r>
    </w:p>
    <w:p w14:paraId="029C8161">
      <w:pPr>
        <w:pStyle w:val="56"/>
        <w:spacing w:line="288" w:lineRule="auto"/>
        <w:ind w:firstLine="420"/>
      </w:pPr>
      <w:r>
        <w:rPr>
          <w:rFonts w:hint="eastAsia"/>
        </w:rPr>
        <w:t>请注意本文件的某些内容可能涉及专利。本文件的发布机构不承担识别专利的责任。</w:t>
      </w:r>
    </w:p>
    <w:p w14:paraId="491C17D7">
      <w:pPr>
        <w:pStyle w:val="56"/>
        <w:spacing w:line="288" w:lineRule="auto"/>
        <w:ind w:firstLine="420"/>
      </w:pPr>
      <w:r>
        <w:rPr>
          <w:rFonts w:hint="eastAsia"/>
        </w:rPr>
        <w:t>本文件由中坚特信新能源科技（苏州）有限公司提出。</w:t>
      </w:r>
    </w:p>
    <w:p w14:paraId="55CB7663">
      <w:pPr>
        <w:pStyle w:val="56"/>
        <w:spacing w:line="288" w:lineRule="auto"/>
        <w:ind w:firstLine="420"/>
      </w:pPr>
      <w:r>
        <w:rPr>
          <w:rFonts w:hint="eastAsia"/>
        </w:rPr>
        <w:t>本文件由中国消防协会归口。</w:t>
      </w:r>
    </w:p>
    <w:p w14:paraId="7989984A">
      <w:pPr>
        <w:pStyle w:val="56"/>
        <w:spacing w:line="288" w:lineRule="auto"/>
        <w:ind w:firstLine="420"/>
      </w:pPr>
      <w:r>
        <w:rPr>
          <w:rFonts w:hint="eastAsia"/>
        </w:rPr>
        <w:t>本文件起草单位：中坚特信新能源科技（苏州）有限公司、应急管理部天津消防研究所、中国科学技术大学、苏州市消防救援支队、海鹰空天材料研究院（苏州）有限责任公司、中铁建工集团第三建设有限公司、浙江清华长三角研究院、小蜜蜂互联(北京)消防信息技术有限公司、中安易游应急装备科技（北京）有限公司、江苏华淼消防科技有限公司、西安亚弘泰新能源科技有限公司、山东大兵应急救援有限公司、四川法斯特消防安全性能评估有限公司、上海国东高新技术有限公司、中海发展(苏州)有限公司。</w:t>
      </w:r>
    </w:p>
    <w:p w14:paraId="2EA45767">
      <w:pPr>
        <w:pStyle w:val="56"/>
        <w:spacing w:line="288" w:lineRule="auto"/>
        <w:ind w:firstLine="420"/>
      </w:pPr>
      <w:r>
        <w:rPr>
          <w:rFonts w:hint="eastAsia"/>
        </w:rPr>
        <w:t>本文件主要起草人：宋炜、杨亮、宗若雯、吴昊、雷雨、季俊贤、刘书民、白斌、马哲、胡建中、薛璍、刘军、陈毅、杨伟杰、贾进文、张陆、姚斌、高宁、姚辉芳、夏迪、周春、王强军、张树、陈闽玲、刘远见、刘磊、杜毅、王将。</w:t>
      </w:r>
    </w:p>
    <w:p w14:paraId="71B9E275">
      <w:pPr>
        <w:pStyle w:val="56"/>
        <w:ind w:firstLine="420"/>
        <w:sectPr>
          <w:pgSz w:w="11906" w:h="16838"/>
          <w:pgMar w:top="2410" w:right="1134" w:bottom="1134" w:left="1134" w:header="1418" w:footer="1134" w:gutter="284"/>
          <w:pgNumType w:fmt="upperRoman"/>
          <w:cols w:space="425" w:num="1"/>
          <w:formProt w:val="0"/>
          <w:docGrid w:linePitch="312" w:charSpace="0"/>
        </w:sectPr>
      </w:pPr>
    </w:p>
    <w:bookmarkEnd w:id="31"/>
    <w:p w14:paraId="03318CC2">
      <w:pPr>
        <w:spacing w:line="20" w:lineRule="exact"/>
        <w:jc w:val="center"/>
        <w:rPr>
          <w:rFonts w:hint="eastAsia" w:ascii="黑体" w:hAnsi="黑体" w:eastAsia="黑体"/>
          <w:sz w:val="32"/>
          <w:szCs w:val="32"/>
        </w:rPr>
      </w:pPr>
      <w:bookmarkStart w:id="32" w:name="BookMark4"/>
    </w:p>
    <w:p w14:paraId="1EF19178">
      <w:pPr>
        <w:spacing w:line="20" w:lineRule="exact"/>
        <w:jc w:val="center"/>
        <w:rPr>
          <w:rFonts w:hint="eastAsia" w:ascii="黑体" w:hAnsi="黑体" w:eastAsia="黑体"/>
          <w:sz w:val="32"/>
          <w:szCs w:val="32"/>
        </w:rPr>
      </w:pPr>
    </w:p>
    <w:sdt>
      <w:sdtPr>
        <w:tag w:val="NEW_STAND_NAME"/>
        <w:id w:val="595910757"/>
        <w:lock w:val="sdtLocked"/>
        <w:placeholder>
          <w:docPart w:val="884410E44FCD44EEA77BC15C08546B80"/>
        </w:placeholder>
      </w:sdtPr>
      <w:sdtContent>
        <w:p w14:paraId="34667BC4">
          <w:pPr>
            <w:pStyle w:val="177"/>
            <w:spacing w:before="2" w:beforeLines="1" w:after="528" w:afterLines="220"/>
            <w:rPr>
              <w:rFonts w:hint="eastAsia"/>
            </w:rPr>
          </w:pPr>
          <w:bookmarkStart w:id="33" w:name="NEW_STAND_NAME"/>
          <w:r>
            <w:rPr>
              <w:rFonts w:hint="eastAsia"/>
            </w:rPr>
            <w:t>新能源车位火灾防护隔断</w:t>
          </w:r>
        </w:p>
      </w:sdtContent>
    </w:sdt>
    <w:bookmarkEnd w:id="33"/>
    <w:p w14:paraId="5AA6F082">
      <w:pPr>
        <w:pStyle w:val="104"/>
        <w:spacing w:before="240" w:after="240"/>
      </w:pPr>
      <w:bookmarkStart w:id="34" w:name="_Toc26986771"/>
      <w:bookmarkStart w:id="35" w:name="_Toc24884218"/>
      <w:bookmarkStart w:id="36" w:name="_Toc223100305"/>
      <w:bookmarkStart w:id="37" w:name="_Toc185347462"/>
      <w:bookmarkStart w:id="38" w:name="_Toc217978889"/>
      <w:bookmarkStart w:id="39" w:name="_Toc194306916"/>
      <w:bookmarkStart w:id="40" w:name="_Toc26648465"/>
      <w:bookmarkStart w:id="41" w:name="_Toc216857076"/>
      <w:bookmarkStart w:id="42" w:name="_Toc17233333"/>
      <w:bookmarkStart w:id="43" w:name="_Toc24884211"/>
      <w:bookmarkStart w:id="44" w:name="_Toc195881605"/>
      <w:bookmarkStart w:id="45" w:name="_Toc217921684"/>
      <w:bookmarkStart w:id="46" w:name="_Toc226641040"/>
      <w:bookmarkStart w:id="47" w:name="_Toc217980253"/>
      <w:bookmarkStart w:id="48" w:name="_Toc218526013"/>
      <w:bookmarkStart w:id="49" w:name="_Toc26718930"/>
      <w:bookmarkStart w:id="50" w:name="_Toc26986530"/>
      <w:bookmarkStart w:id="51" w:name="_Toc17233325"/>
      <w:bookmarkStart w:id="52" w:name="_Toc204954741"/>
      <w:r>
        <w:rPr>
          <w:rFonts w:hint="eastAsia"/>
        </w:rPr>
        <w:t>范围</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165910E">
      <w:pPr>
        <w:pStyle w:val="56"/>
        <w:spacing w:line="288" w:lineRule="auto"/>
        <w:ind w:firstLine="420"/>
      </w:pPr>
      <w:bookmarkStart w:id="53" w:name="_Toc26648466"/>
      <w:bookmarkStart w:id="54" w:name="_Toc24884219"/>
      <w:bookmarkStart w:id="55" w:name="_Toc17233334"/>
      <w:bookmarkStart w:id="56" w:name="_Toc17233326"/>
      <w:bookmarkStart w:id="57" w:name="_Toc24884212"/>
      <w:r>
        <w:t>本文件规定了新能源</w:t>
      </w:r>
      <w:r>
        <w:rPr>
          <w:rFonts w:hint="eastAsia"/>
        </w:rPr>
        <w:t>车位火灾防护隔断的主要构件性能要求、技术要求、试验方法、检验规则、标志、包装、运输和贮存。</w:t>
      </w:r>
    </w:p>
    <w:p w14:paraId="407A9A28">
      <w:pPr>
        <w:pStyle w:val="56"/>
        <w:spacing w:line="288" w:lineRule="auto"/>
        <w:ind w:firstLine="420"/>
      </w:pPr>
      <w:r>
        <w:rPr>
          <w:rFonts w:hint="eastAsia"/>
        </w:rPr>
        <w:t>本文件适用于新能源车位火灾防护隔断的生产与检验。</w:t>
      </w:r>
    </w:p>
    <w:p w14:paraId="3A78C2BA">
      <w:pPr>
        <w:pStyle w:val="104"/>
        <w:spacing w:before="240" w:after="240" w:line="288" w:lineRule="auto"/>
      </w:pPr>
      <w:bookmarkStart w:id="58" w:name="_Toc26718931"/>
      <w:bookmarkStart w:id="59" w:name="_Toc226641041"/>
      <w:bookmarkStart w:id="60" w:name="_Toc26986772"/>
      <w:bookmarkStart w:id="61" w:name="_Toc223100306"/>
      <w:bookmarkStart w:id="62" w:name="_Toc218526014"/>
      <w:bookmarkStart w:id="63" w:name="_Toc217921685"/>
      <w:bookmarkStart w:id="64" w:name="_Toc217978890"/>
      <w:bookmarkStart w:id="65" w:name="_Toc194306917"/>
      <w:bookmarkStart w:id="66" w:name="_Toc185347463"/>
      <w:bookmarkStart w:id="67" w:name="_Toc204954742"/>
      <w:bookmarkStart w:id="68" w:name="_Toc195881606"/>
      <w:bookmarkStart w:id="69" w:name="_Toc216857077"/>
      <w:bookmarkStart w:id="70" w:name="_Toc217980254"/>
      <w:bookmarkStart w:id="71" w:name="_Toc26986531"/>
      <w:r>
        <w:rPr>
          <w:rFonts w:hint="eastAsia"/>
        </w:rPr>
        <w:t>规范性引用文件</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sdt>
      <w:sdtPr>
        <w:rPr>
          <w:rFonts w:hint="eastAsia"/>
        </w:rPr>
        <w:id w:val="715848253"/>
        <w:placeholder>
          <w:docPart w:val="26B670E65A314FDBBB3E385B53E0D2E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45D33D60">
          <w:pPr>
            <w:pStyle w:val="56"/>
            <w:spacing w:line="288"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3E6639D">
      <w:pPr>
        <w:pStyle w:val="56"/>
        <w:spacing w:line="288" w:lineRule="auto"/>
        <w:ind w:firstLine="420"/>
        <w:rPr>
          <w:rStyle w:val="32"/>
        </w:rPr>
      </w:pPr>
      <w:r>
        <w:rPr>
          <w:rFonts w:hint="eastAsia"/>
        </w:rPr>
        <w:t xml:space="preserve">GB/T 191  </w:t>
      </w:r>
      <w:r>
        <w:fldChar w:fldCharType="begin"/>
      </w:r>
      <w:r>
        <w:instrText xml:space="preserve"> HYPERLINK "http://standard.sist.org.cn/StdSearch/stdDetail.aspx?AppID=GB/T%20191-2025&amp;v=GB/T%20191%24" \t "_blank" </w:instrText>
      </w:r>
      <w:r>
        <w:fldChar w:fldCharType="separate"/>
      </w:r>
      <w:r>
        <w:rPr>
          <w:rStyle w:val="32"/>
        </w:rPr>
        <w:t>包装储运图形符号标志</w:t>
      </w:r>
      <w:r>
        <w:rPr>
          <w:rStyle w:val="32"/>
        </w:rPr>
        <w:fldChar w:fldCharType="end"/>
      </w:r>
    </w:p>
    <w:p w14:paraId="488872C6">
      <w:pPr>
        <w:pStyle w:val="56"/>
        <w:spacing w:line="288" w:lineRule="auto"/>
        <w:ind w:firstLine="420"/>
        <w:rPr>
          <w:rStyle w:val="32"/>
        </w:rPr>
      </w:pPr>
      <w:r>
        <w:rPr>
          <w:rStyle w:val="32"/>
        </w:rPr>
        <w:t>GB/T 3091</w:t>
      </w:r>
      <w:r>
        <w:rPr>
          <w:rStyle w:val="32"/>
          <w:rFonts w:hint="eastAsia"/>
        </w:rPr>
        <w:t xml:space="preserve">  低压流体输送用焊接钢管</w:t>
      </w:r>
    </w:p>
    <w:p w14:paraId="35A7EF9F">
      <w:pPr>
        <w:pStyle w:val="56"/>
        <w:spacing w:line="288" w:lineRule="auto"/>
        <w:ind w:firstLine="420"/>
      </w:pPr>
      <w:r>
        <w:t>GB/T 3280</w:t>
      </w:r>
      <w:r>
        <w:rPr>
          <w:rFonts w:hint="eastAsia"/>
        </w:rPr>
        <w:t xml:space="preserve">  </w:t>
      </w:r>
      <w:r>
        <w:t>不锈钢冷轧钢板和钢带</w:t>
      </w:r>
    </w:p>
    <w:p w14:paraId="06A06A80">
      <w:pPr>
        <w:pStyle w:val="56"/>
        <w:spacing w:line="288" w:lineRule="auto"/>
        <w:ind w:firstLine="420"/>
        <w:rPr>
          <w:rStyle w:val="32"/>
        </w:rPr>
      </w:pPr>
      <w:r>
        <w:t>GB 4066—2017</w:t>
      </w:r>
      <w:r>
        <w:rPr>
          <w:rFonts w:hint="eastAsia"/>
        </w:rPr>
        <w:t xml:space="preserve">  </w:t>
      </w:r>
      <w:r>
        <w:fldChar w:fldCharType="begin"/>
      </w:r>
      <w:r>
        <w:instrText xml:space="preserve"> HYPERLINK "http://standard.sist.org.cn/StdSearch/stdDetail.aspx?AppID=GB%204066-2017&amp;v=GB%204066%u20142017%24" \t "_blank" </w:instrText>
      </w:r>
      <w:r>
        <w:fldChar w:fldCharType="separate"/>
      </w:r>
      <w:r>
        <w:rPr>
          <w:rStyle w:val="32"/>
        </w:rPr>
        <w:t>干粉灭火剂</w:t>
      </w:r>
      <w:r>
        <w:rPr>
          <w:rStyle w:val="32"/>
        </w:rPr>
        <w:fldChar w:fldCharType="end"/>
      </w:r>
    </w:p>
    <w:p w14:paraId="53226BC4">
      <w:pPr>
        <w:pStyle w:val="56"/>
        <w:spacing w:line="288" w:lineRule="auto"/>
        <w:ind w:firstLine="420"/>
      </w:pPr>
      <w:r>
        <w:t>GB/T 6728</w:t>
      </w:r>
      <w:r>
        <w:rPr>
          <w:rFonts w:hint="eastAsia"/>
        </w:rPr>
        <w:t xml:space="preserve">  </w:t>
      </w:r>
      <w:r>
        <w:fldChar w:fldCharType="begin"/>
      </w:r>
      <w:r>
        <w:instrText xml:space="preserve"> HYPERLINK "http://standard.sist.org.cn/StdSearch/stdDetail.aspx?AppID=GB/T%206728-2025&amp;v=GB/T%206728%24" \t "_blank" </w:instrText>
      </w:r>
      <w:r>
        <w:fldChar w:fldCharType="separate"/>
      </w:r>
      <w:r>
        <w:rPr>
          <w:rStyle w:val="32"/>
        </w:rPr>
        <w:t>结构用冷弯型钢</w:t>
      </w:r>
      <w:r>
        <w:rPr>
          <w:rStyle w:val="32"/>
        </w:rPr>
        <w:fldChar w:fldCharType="end"/>
      </w:r>
    </w:p>
    <w:p w14:paraId="6A8D320A">
      <w:pPr>
        <w:pStyle w:val="56"/>
        <w:spacing w:line="288" w:lineRule="auto"/>
        <w:ind w:firstLine="420"/>
        <w:rPr>
          <w:szCs w:val="21"/>
        </w:rPr>
      </w:pPr>
      <w:r>
        <w:rPr>
          <w:rFonts w:hint="eastAsia"/>
          <w:szCs w:val="21"/>
        </w:rPr>
        <w:t>GB 8624  建筑材料及制品燃烧性能分级</w:t>
      </w:r>
    </w:p>
    <w:p w14:paraId="45C5A2CB">
      <w:pPr>
        <w:pStyle w:val="56"/>
        <w:spacing w:line="288" w:lineRule="auto"/>
        <w:ind w:firstLine="420"/>
        <w:rPr>
          <w:szCs w:val="21"/>
        </w:rPr>
      </w:pPr>
      <w:r>
        <w:rPr>
          <w:szCs w:val="21"/>
        </w:rPr>
        <w:t>GB/T 12618</w:t>
      </w:r>
      <w:r>
        <w:rPr>
          <w:rFonts w:hint="eastAsia"/>
          <w:szCs w:val="21"/>
        </w:rPr>
        <w:t>（所有部分） 开口型平圆头抽芯铆钉</w:t>
      </w:r>
    </w:p>
    <w:p w14:paraId="4A031492">
      <w:pPr>
        <w:pStyle w:val="56"/>
        <w:spacing w:line="288" w:lineRule="auto"/>
        <w:ind w:firstLine="420"/>
        <w:rPr>
          <w:rFonts w:hint="eastAsia" w:hAnsi="宋体"/>
        </w:rPr>
      </w:pPr>
      <w:r>
        <w:rPr>
          <w:rFonts w:hint="eastAsia"/>
        </w:rPr>
        <w:t>GB/T 15856.1  十字槽盘头自钻自攻螺钉</w:t>
      </w:r>
    </w:p>
    <w:p w14:paraId="7339022C">
      <w:pPr>
        <w:pStyle w:val="56"/>
        <w:spacing w:line="288" w:lineRule="auto"/>
        <w:ind w:firstLine="420"/>
        <w:rPr>
          <w:rFonts w:hint="eastAsia" w:hAnsi="宋体"/>
        </w:rPr>
      </w:pPr>
      <w:r>
        <w:rPr>
          <w:rFonts w:hint="eastAsia"/>
        </w:rPr>
        <w:t>GB/T 15856.2  十字槽沉头自钻自攻螺钉</w:t>
      </w:r>
    </w:p>
    <w:p w14:paraId="6D1549B8">
      <w:pPr>
        <w:pStyle w:val="56"/>
        <w:spacing w:line="288" w:lineRule="auto"/>
        <w:ind w:firstLine="420"/>
        <w:rPr>
          <w:rFonts w:hint="eastAsia" w:hAnsi="宋体"/>
        </w:rPr>
      </w:pPr>
      <w:r>
        <w:rPr>
          <w:rFonts w:hint="eastAsia"/>
        </w:rPr>
        <w:t>GB/T 15856.3  十字槽半沉头自钻自攻螺钉</w:t>
      </w:r>
    </w:p>
    <w:p w14:paraId="64B9FBDF">
      <w:pPr>
        <w:pStyle w:val="56"/>
        <w:spacing w:line="288" w:lineRule="auto"/>
        <w:ind w:firstLine="420"/>
        <w:rPr>
          <w:rFonts w:hint="eastAsia" w:hAnsi="宋体"/>
        </w:rPr>
      </w:pPr>
      <w:r>
        <w:rPr>
          <w:rFonts w:hint="eastAsia"/>
        </w:rPr>
        <w:t>GB/T 15856.4  六角法兰面自钻自攻螺钉</w:t>
      </w:r>
    </w:p>
    <w:p w14:paraId="4E0086BB">
      <w:pPr>
        <w:pStyle w:val="56"/>
        <w:spacing w:line="288" w:lineRule="auto"/>
        <w:ind w:firstLine="420"/>
      </w:pPr>
      <w:r>
        <w:rPr>
          <w:rFonts w:hint="eastAsia"/>
        </w:rPr>
        <w:t>GB/T 15856.5  六角凸缘自钻自攻螺钉</w:t>
      </w:r>
    </w:p>
    <w:p w14:paraId="053DA348">
      <w:pPr>
        <w:pStyle w:val="56"/>
        <w:spacing w:line="288" w:lineRule="auto"/>
        <w:ind w:firstLine="420"/>
      </w:pPr>
      <w:r>
        <w:t>GB/T 18930</w:t>
      </w:r>
      <w:r>
        <w:rPr>
          <w:rFonts w:hint="eastAsia"/>
        </w:rPr>
        <w:t xml:space="preserve">  耐火材料术语</w:t>
      </w:r>
    </w:p>
    <w:p w14:paraId="28ADB17D">
      <w:pPr>
        <w:pStyle w:val="56"/>
        <w:spacing w:line="288" w:lineRule="auto"/>
        <w:ind w:firstLine="420"/>
      </w:pPr>
      <w:r>
        <w:t>GB/T 20285</w:t>
      </w:r>
      <w:r>
        <w:rPr>
          <w:rFonts w:hint="eastAsia"/>
        </w:rPr>
        <w:t xml:space="preserve">  </w:t>
      </w:r>
      <w:r>
        <w:fldChar w:fldCharType="begin"/>
      </w:r>
      <w:r>
        <w:instrText xml:space="preserve"> HYPERLINK "https://std.samr.gov.cn/gb/search/gbDetailed?id=71F772D76A9DD3A7E05397BE0A0AB82A" \t "_blank" </w:instrText>
      </w:r>
      <w:r>
        <w:fldChar w:fldCharType="separate"/>
      </w:r>
      <w:r>
        <w:rPr>
          <w:rStyle w:val="32"/>
        </w:rPr>
        <w:t>材料产烟毒性危险分级</w:t>
      </w:r>
      <w:r>
        <w:rPr>
          <w:rStyle w:val="32"/>
        </w:rPr>
        <w:fldChar w:fldCharType="end"/>
      </w:r>
    </w:p>
    <w:p w14:paraId="2A7EC1F5">
      <w:pPr>
        <w:pStyle w:val="104"/>
        <w:spacing w:before="240" w:after="240" w:line="288" w:lineRule="auto"/>
      </w:pPr>
      <w:bookmarkStart w:id="72" w:name="_Toc216857078"/>
      <w:bookmarkStart w:id="73" w:name="_Toc217980255"/>
      <w:bookmarkStart w:id="74" w:name="_Toc204954743"/>
      <w:bookmarkStart w:id="75" w:name="_Toc217978891"/>
      <w:bookmarkStart w:id="76" w:name="_Toc194306918"/>
      <w:bookmarkStart w:id="77" w:name="_Toc218526015"/>
      <w:bookmarkStart w:id="78" w:name="_Toc195881607"/>
      <w:bookmarkStart w:id="79" w:name="_Toc185347464"/>
      <w:bookmarkStart w:id="80" w:name="_Toc226641042"/>
      <w:bookmarkStart w:id="81" w:name="_Toc223100307"/>
      <w:bookmarkStart w:id="82" w:name="_Toc217921686"/>
      <w:r>
        <w:rPr>
          <w:rFonts w:hint="eastAsia"/>
          <w:szCs w:val="21"/>
        </w:rPr>
        <w:t>术语和定义</w:t>
      </w:r>
      <w:bookmarkEnd w:id="72"/>
      <w:bookmarkEnd w:id="73"/>
      <w:bookmarkEnd w:id="74"/>
      <w:bookmarkEnd w:id="75"/>
      <w:bookmarkEnd w:id="76"/>
      <w:bookmarkEnd w:id="77"/>
      <w:bookmarkEnd w:id="78"/>
      <w:bookmarkEnd w:id="79"/>
      <w:bookmarkEnd w:id="80"/>
      <w:bookmarkEnd w:id="81"/>
      <w:bookmarkEnd w:id="82"/>
      <w:r>
        <w:rPr>
          <w:rFonts w:hint="eastAsia"/>
          <w:szCs w:val="21"/>
        </w:rPr>
        <w:t xml:space="preserve"> </w:t>
      </w:r>
    </w:p>
    <w:sdt>
      <w:sdtPr>
        <w:id w:val="-1909835108"/>
        <w:placeholder>
          <w:docPart w:val="5F50530C98294D48823599ACF740916A"/>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5BE39AA9">
          <w:pPr>
            <w:pStyle w:val="56"/>
            <w:spacing w:line="288" w:lineRule="auto"/>
            <w:ind w:firstLine="420"/>
          </w:pPr>
          <w:bookmarkStart w:id="83" w:name="_Toc26986532"/>
          <w:bookmarkEnd w:id="83"/>
          <w:r>
            <w:t>GB/T 18930</w:t>
          </w:r>
          <w:r>
            <w:rPr>
              <w:rFonts w:hint="eastAsia"/>
            </w:rPr>
            <w:t xml:space="preserve"> </w:t>
          </w:r>
          <w:r>
            <w:t>界定的以及下列术语和定义适用于本文件。</w:t>
          </w:r>
        </w:p>
      </w:sdtContent>
    </w:sdt>
    <w:p w14:paraId="45B12A3F">
      <w:pPr>
        <w:pStyle w:val="223"/>
        <w:spacing w:line="288" w:lineRule="auto"/>
        <w:ind w:left="420" w:hanging="420" w:hangingChars="200"/>
        <w:rPr>
          <w:rFonts w:hint="eastAsia" w:ascii="黑体" w:hAnsi="黑体" w:eastAsia="黑体"/>
        </w:rPr>
      </w:pPr>
      <w:bookmarkStart w:id="84" w:name="_Toc195881608"/>
      <w:bookmarkStart w:id="85" w:name="_Toc204954744"/>
      <w:bookmarkStart w:id="86" w:name="_Toc194306920"/>
      <w:bookmarkStart w:id="87" w:name="_Toc185347466"/>
      <w:r>
        <w:rPr>
          <w:rFonts w:ascii="黑体" w:hAnsi="黑体" w:eastAsia="黑体"/>
        </w:rPr>
        <w:br w:type="textWrapping"/>
      </w:r>
      <w:r>
        <w:rPr>
          <w:rFonts w:hint="eastAsia" w:ascii="黑体" w:hAnsi="黑体" w:eastAsia="黑体"/>
        </w:rPr>
        <w:t>新能源车位火灾防护隔断  f</w:t>
      </w:r>
      <w:r>
        <w:rPr>
          <w:rFonts w:ascii="黑体" w:hAnsi="黑体" w:eastAsia="黑体"/>
        </w:rPr>
        <w:t xml:space="preserve">ire protection </w:t>
      </w:r>
      <w:r>
        <w:rPr>
          <w:rFonts w:hint="eastAsia" w:ascii="黑体" w:hAnsi="黑体" w:eastAsia="黑体"/>
          <w:lang w:val="en-US" w:eastAsia="zh-CN"/>
        </w:rPr>
        <w:t>barrier</w:t>
      </w:r>
      <w:bookmarkStart w:id="352" w:name="_GoBack"/>
      <w:bookmarkEnd w:id="352"/>
      <w:r>
        <w:rPr>
          <w:rFonts w:ascii="黑体" w:hAnsi="黑体" w:eastAsia="黑体"/>
        </w:rPr>
        <w:t xml:space="preserve"> for new </w:t>
      </w:r>
      <w:r>
        <w:rPr>
          <w:rFonts w:hint="eastAsia" w:ascii="黑体" w:hAnsi="黑体" w:eastAsia="黑体"/>
        </w:rPr>
        <w:t>e</w:t>
      </w:r>
      <w:r>
        <w:rPr>
          <w:rFonts w:ascii="黑体" w:hAnsi="黑体" w:eastAsia="黑体"/>
        </w:rPr>
        <w:t>nergy</w:t>
      </w:r>
      <w:r>
        <w:rPr>
          <w:rFonts w:hint="eastAsia" w:ascii="黑体" w:hAnsi="黑体" w:eastAsia="黑体"/>
        </w:rPr>
        <w:t xml:space="preserve"> </w:t>
      </w:r>
      <w:r>
        <w:rPr>
          <w:rFonts w:ascii="黑体" w:hAnsi="黑体" w:eastAsia="黑体"/>
        </w:rPr>
        <w:t>parking spaces</w:t>
      </w:r>
    </w:p>
    <w:p w14:paraId="38AE9F75">
      <w:pPr>
        <w:pStyle w:val="56"/>
        <w:spacing w:line="288" w:lineRule="auto"/>
        <w:ind w:firstLine="420"/>
      </w:pPr>
      <w:r>
        <w:rPr>
          <w:rFonts w:hint="eastAsia"/>
        </w:rPr>
        <w:t>用于阻断纯电动小型载客汽车（电动自行车）之间的火灾蔓延，由防火隔热板、结构件、紧固件、焊接件等组成的成套构件。以下简称“防护隔断”。</w:t>
      </w:r>
    </w:p>
    <w:bookmarkEnd w:id="84"/>
    <w:bookmarkEnd w:id="85"/>
    <w:bookmarkEnd w:id="86"/>
    <w:bookmarkEnd w:id="87"/>
    <w:p w14:paraId="1E282CEA">
      <w:pPr>
        <w:pStyle w:val="104"/>
        <w:spacing w:before="240" w:after="240" w:line="288" w:lineRule="auto"/>
      </w:pPr>
      <w:bookmarkStart w:id="88" w:name="_Toc223100308"/>
      <w:bookmarkStart w:id="89" w:name="_Toc218526016"/>
      <w:bookmarkStart w:id="90" w:name="_Toc217921687"/>
      <w:bookmarkStart w:id="91" w:name="_Toc217980256"/>
      <w:bookmarkStart w:id="92" w:name="_Toc216857079"/>
      <w:bookmarkStart w:id="93" w:name="_Toc226641043"/>
      <w:bookmarkStart w:id="94" w:name="_Toc217978892"/>
      <w:r>
        <w:t>主要构件性能要求</w:t>
      </w:r>
      <w:bookmarkEnd w:id="88"/>
      <w:bookmarkEnd w:id="89"/>
      <w:bookmarkEnd w:id="90"/>
      <w:bookmarkEnd w:id="91"/>
      <w:bookmarkEnd w:id="92"/>
      <w:bookmarkEnd w:id="93"/>
      <w:bookmarkEnd w:id="94"/>
    </w:p>
    <w:p w14:paraId="064FC595">
      <w:pPr>
        <w:pStyle w:val="162"/>
        <w:spacing w:line="288" w:lineRule="auto"/>
      </w:pPr>
      <w:r>
        <w:rPr>
          <w:rFonts w:hint="eastAsia"/>
        </w:rPr>
        <w:t>防火隔热板的燃烧性能等级不应低于</w:t>
      </w:r>
      <w:r>
        <w:t>GB 8624</w:t>
      </w:r>
      <w:r>
        <w:rPr>
          <w:rFonts w:hint="eastAsia"/>
        </w:rPr>
        <w:t xml:space="preserve"> 规定的 A1 级，产烟毒性危险分级不应低于 GB/T 20285 规定的安全 AQ</w:t>
      </w:r>
      <w:r>
        <w:rPr>
          <w:rFonts w:hint="eastAsia"/>
          <w:vertAlign w:val="subscript"/>
        </w:rPr>
        <w:t>2</w:t>
      </w:r>
      <w:r>
        <w:rPr>
          <w:rFonts w:hint="eastAsia"/>
        </w:rPr>
        <w:t xml:space="preserve"> 级。</w:t>
      </w:r>
    </w:p>
    <w:p w14:paraId="3D5B9DED">
      <w:pPr>
        <w:pStyle w:val="162"/>
        <w:spacing w:line="288" w:lineRule="auto"/>
      </w:pPr>
      <w:r>
        <w:rPr>
          <w:rFonts w:hint="eastAsia"/>
        </w:rPr>
        <w:t xml:space="preserve">防火隔热板所用面材应符合 </w:t>
      </w:r>
      <w:r>
        <w:t>GB/T 3280</w:t>
      </w:r>
      <w:r>
        <w:rPr>
          <w:rFonts w:hint="eastAsia"/>
        </w:rPr>
        <w:t xml:space="preserve"> 的规定。</w:t>
      </w:r>
    </w:p>
    <w:p w14:paraId="7EC65ACB">
      <w:pPr>
        <w:pStyle w:val="162"/>
        <w:spacing w:line="288" w:lineRule="auto"/>
      </w:pPr>
      <w:r>
        <w:t>防火隔热板所用结构件（如隔断骨架等）应符合</w:t>
      </w:r>
      <w:r>
        <w:rPr>
          <w:rFonts w:hint="eastAsia"/>
        </w:rPr>
        <w:t xml:space="preserve"> </w:t>
      </w:r>
      <w:bookmarkStart w:id="95" w:name="OLE_LINK1"/>
      <w:r>
        <w:t>GB/T</w:t>
      </w:r>
      <w:r>
        <w:rPr>
          <w:rFonts w:hint="eastAsia"/>
        </w:rPr>
        <w:t xml:space="preserve"> </w:t>
      </w:r>
      <w:r>
        <w:t>3091</w:t>
      </w:r>
      <w:bookmarkEnd w:id="95"/>
      <w:r>
        <w:rPr>
          <w:rFonts w:hint="eastAsia"/>
        </w:rPr>
        <w:t xml:space="preserve"> 和 </w:t>
      </w:r>
      <w:r>
        <w:t>GB/T</w:t>
      </w:r>
      <w:r>
        <w:rPr>
          <w:rFonts w:hint="eastAsia"/>
        </w:rPr>
        <w:t xml:space="preserve"> </w:t>
      </w:r>
      <w:r>
        <w:t>6728</w:t>
      </w:r>
      <w:r>
        <w:rPr>
          <w:rFonts w:hint="eastAsia"/>
        </w:rPr>
        <w:t xml:space="preserve"> 的规定。</w:t>
      </w:r>
    </w:p>
    <w:p w14:paraId="1A962BD0">
      <w:pPr>
        <w:pStyle w:val="162"/>
        <w:spacing w:line="288" w:lineRule="auto"/>
      </w:pPr>
      <w:r>
        <w:t>防护隔断所用紧固件应符合</w:t>
      </w:r>
      <w:r>
        <w:rPr>
          <w:rFonts w:hint="eastAsia"/>
        </w:rPr>
        <w:t xml:space="preserve"> GB/T 12618</w:t>
      </w:r>
      <w:r>
        <w:rPr>
          <w:rFonts w:hint="eastAsia"/>
          <w:szCs w:val="21"/>
        </w:rPr>
        <w:t>（所有部分）</w:t>
      </w:r>
      <w:r>
        <w:rPr>
          <w:rFonts w:hint="eastAsia"/>
        </w:rPr>
        <w:t>和 GB/T 15856.1</w:t>
      </w:r>
      <w:r>
        <w:rPr>
          <w:rFonts w:hint="eastAsia" w:hAnsi="宋体"/>
        </w:rPr>
        <w:t>～</w:t>
      </w:r>
      <w:r>
        <w:rPr>
          <w:rFonts w:hint="eastAsia"/>
        </w:rPr>
        <w:t>GB/T 15856.5 的相关规定。</w:t>
      </w:r>
    </w:p>
    <w:p w14:paraId="0E1B8D07">
      <w:pPr>
        <w:pStyle w:val="104"/>
        <w:spacing w:before="240" w:after="240" w:line="288" w:lineRule="auto"/>
      </w:pPr>
      <w:bookmarkStart w:id="96" w:name="_Toc217921688"/>
      <w:bookmarkStart w:id="97" w:name="_Toc194306921"/>
      <w:bookmarkStart w:id="98" w:name="_Toc217980257"/>
      <w:bookmarkStart w:id="99" w:name="_Toc223100309"/>
      <w:bookmarkStart w:id="100" w:name="_Toc195881609"/>
      <w:bookmarkStart w:id="101" w:name="_Toc226641044"/>
      <w:bookmarkStart w:id="102" w:name="_Toc204954745"/>
      <w:bookmarkStart w:id="103" w:name="_Toc185347467"/>
      <w:bookmarkStart w:id="104" w:name="_Toc218526017"/>
      <w:bookmarkStart w:id="105" w:name="_Toc216857080"/>
      <w:bookmarkStart w:id="106" w:name="_Toc217978893"/>
      <w:r>
        <w:t>技术要求</w:t>
      </w:r>
      <w:bookmarkEnd w:id="96"/>
      <w:bookmarkEnd w:id="97"/>
      <w:bookmarkEnd w:id="98"/>
      <w:bookmarkEnd w:id="99"/>
      <w:bookmarkEnd w:id="100"/>
      <w:bookmarkEnd w:id="101"/>
      <w:bookmarkEnd w:id="102"/>
      <w:bookmarkEnd w:id="103"/>
      <w:bookmarkEnd w:id="104"/>
      <w:bookmarkEnd w:id="105"/>
      <w:bookmarkEnd w:id="106"/>
    </w:p>
    <w:p w14:paraId="51FDFD70">
      <w:pPr>
        <w:pStyle w:val="105"/>
        <w:spacing w:before="120" w:after="120" w:line="288" w:lineRule="auto"/>
      </w:pPr>
      <w:bookmarkStart w:id="107" w:name="_Toc204954746"/>
      <w:bookmarkStart w:id="108" w:name="_Toc216857081"/>
      <w:bookmarkStart w:id="109" w:name="_Toc194306922"/>
      <w:bookmarkStart w:id="110" w:name="_Toc226641045"/>
      <w:bookmarkStart w:id="111" w:name="_Toc217921689"/>
      <w:bookmarkStart w:id="112" w:name="_Toc218526018"/>
      <w:bookmarkStart w:id="113" w:name="_Toc195881610"/>
      <w:bookmarkStart w:id="114" w:name="_Toc185347468"/>
      <w:bookmarkStart w:id="115" w:name="_Toc217980258"/>
      <w:bookmarkStart w:id="116" w:name="_Toc217978894"/>
      <w:bookmarkStart w:id="117" w:name="_Toc223100310"/>
      <w:r>
        <w:t>外观</w:t>
      </w:r>
      <w:bookmarkEnd w:id="107"/>
      <w:bookmarkEnd w:id="108"/>
      <w:bookmarkEnd w:id="109"/>
      <w:bookmarkEnd w:id="110"/>
      <w:bookmarkEnd w:id="111"/>
      <w:bookmarkEnd w:id="112"/>
      <w:bookmarkEnd w:id="113"/>
      <w:bookmarkEnd w:id="114"/>
      <w:bookmarkEnd w:id="115"/>
      <w:bookmarkEnd w:id="116"/>
      <w:bookmarkEnd w:id="117"/>
    </w:p>
    <w:p w14:paraId="17F09EDC">
      <w:pPr>
        <w:pStyle w:val="165"/>
        <w:spacing w:line="288" w:lineRule="auto"/>
      </w:pPr>
      <w:r>
        <w:t>防护隔断表面</w:t>
      </w:r>
      <w:r>
        <w:rPr>
          <w:rFonts w:hint="eastAsia"/>
        </w:rPr>
        <w:t>应平整、光洁，无明显凹痕或机械损伤。</w:t>
      </w:r>
    </w:p>
    <w:p w14:paraId="050B2A5A">
      <w:pPr>
        <w:pStyle w:val="165"/>
        <w:spacing w:line="288" w:lineRule="auto"/>
      </w:pPr>
      <w:r>
        <w:rPr>
          <w:rFonts w:hint="eastAsia"/>
        </w:rPr>
        <w:t>金属零部件表面应无裂纹、毛刺及明显的凹凸、锤痕、孔洞等缺陷。</w:t>
      </w:r>
    </w:p>
    <w:p w14:paraId="18647CAA">
      <w:pPr>
        <w:pStyle w:val="165"/>
        <w:spacing w:line="288" w:lineRule="auto"/>
      </w:pPr>
      <w:r>
        <w:rPr>
          <w:rFonts w:hint="eastAsia"/>
        </w:rPr>
        <w:t>结构件、紧固件表面应做防锈处理，涂层、镀层应均匀、平整、光滑，应无堆漆、麻点、气泡、漏涂、橘皮以及流淌等现象。</w:t>
      </w:r>
    </w:p>
    <w:p w14:paraId="620F418D">
      <w:pPr>
        <w:pStyle w:val="165"/>
        <w:spacing w:line="288" w:lineRule="auto"/>
      </w:pPr>
      <w:r>
        <w:rPr>
          <w:rFonts w:hint="eastAsia"/>
        </w:rPr>
        <w:t>焊接应牢固，焊点应分布均匀，不应有假焊、漏焊、烧穿、夹渣、疏松等现象，焊接外表面应光滑平整。</w:t>
      </w:r>
    </w:p>
    <w:p w14:paraId="7E52961C">
      <w:pPr>
        <w:pStyle w:val="165"/>
        <w:spacing w:line="288" w:lineRule="auto"/>
      </w:pPr>
      <w:r>
        <w:rPr>
          <w:rFonts w:hint="eastAsia"/>
        </w:rPr>
        <w:t>防护隔断的部件应齐全、完整，装配牢固，连接可靠，不应有松动现象。</w:t>
      </w:r>
    </w:p>
    <w:p w14:paraId="4155B2D9">
      <w:pPr>
        <w:pStyle w:val="105"/>
        <w:spacing w:before="120" w:after="120" w:line="288" w:lineRule="auto"/>
        <w:rPr>
          <w:color w:val="000000" w:themeColor="text1"/>
          <w14:textFill>
            <w14:solidFill>
              <w14:schemeClr w14:val="tx1"/>
            </w14:solidFill>
          </w14:textFill>
        </w:rPr>
      </w:pPr>
      <w:bookmarkStart w:id="118" w:name="_Toc194306923"/>
      <w:bookmarkStart w:id="119" w:name="_Toc195881611"/>
      <w:bookmarkStart w:id="120" w:name="_Toc185347469"/>
      <w:bookmarkStart w:id="121" w:name="_Toc217978895"/>
      <w:bookmarkStart w:id="122" w:name="_Toc216857082"/>
      <w:bookmarkStart w:id="123" w:name="_Toc217921690"/>
      <w:bookmarkStart w:id="124" w:name="_Toc218526019"/>
      <w:bookmarkStart w:id="125" w:name="_Toc217980259"/>
      <w:bookmarkStart w:id="126" w:name="_Toc223100311"/>
      <w:bookmarkStart w:id="127" w:name="_Toc226641046"/>
      <w:bookmarkStart w:id="128" w:name="_Toc204954747"/>
      <w:r>
        <w:rPr>
          <w:color w:val="000000" w:themeColor="text1"/>
          <w14:textFill>
            <w14:solidFill>
              <w14:schemeClr w14:val="tx1"/>
            </w14:solidFill>
          </w14:textFill>
        </w:rPr>
        <w:t>尺寸偏差</w:t>
      </w:r>
      <w:bookmarkEnd w:id="118"/>
      <w:bookmarkEnd w:id="119"/>
      <w:bookmarkEnd w:id="120"/>
      <w:bookmarkEnd w:id="121"/>
      <w:bookmarkEnd w:id="122"/>
      <w:bookmarkEnd w:id="123"/>
      <w:bookmarkEnd w:id="124"/>
      <w:bookmarkEnd w:id="125"/>
      <w:bookmarkEnd w:id="126"/>
      <w:bookmarkEnd w:id="127"/>
      <w:bookmarkEnd w:id="128"/>
    </w:p>
    <w:p w14:paraId="0FBB0048">
      <w:pPr>
        <w:pStyle w:val="56"/>
        <w:spacing w:line="288" w:lineRule="auto"/>
        <w:ind w:firstLine="420"/>
      </w:pPr>
      <w:r>
        <w:rPr>
          <w:rFonts w:hint="eastAsia"/>
        </w:rPr>
        <w:t>防护隔断宽度、高度及厚度的实际尺寸应与标示尺寸相符，允许偏差为±2</w:t>
      </w:r>
      <w:r>
        <w:rPr>
          <w:rFonts w:hint="eastAsia" w:hAnsi="宋体"/>
        </w:rPr>
        <w:t>％</w:t>
      </w:r>
      <w:r>
        <w:rPr>
          <w:rFonts w:hint="eastAsia"/>
        </w:rPr>
        <w:t>。</w:t>
      </w:r>
    </w:p>
    <w:p w14:paraId="14068EA5">
      <w:pPr>
        <w:pStyle w:val="105"/>
        <w:spacing w:before="120" w:after="120" w:line="288" w:lineRule="auto"/>
      </w:pPr>
      <w:bookmarkStart w:id="129" w:name="_Toc223100312"/>
      <w:bookmarkStart w:id="130" w:name="_Toc216857083"/>
      <w:bookmarkStart w:id="131" w:name="_Toc217978896"/>
      <w:bookmarkStart w:id="132" w:name="_Toc204954749"/>
      <w:bookmarkStart w:id="133" w:name="_Toc226641047"/>
      <w:bookmarkStart w:id="134" w:name="_Toc217921691"/>
      <w:bookmarkStart w:id="135" w:name="_Toc217980260"/>
      <w:bookmarkStart w:id="136" w:name="_Toc218526020"/>
      <w:r>
        <w:rPr>
          <w:rFonts w:hint="eastAsia"/>
        </w:rPr>
        <w:t>防火性能</w:t>
      </w:r>
      <w:bookmarkEnd w:id="129"/>
      <w:bookmarkEnd w:id="130"/>
      <w:bookmarkEnd w:id="131"/>
      <w:bookmarkEnd w:id="132"/>
      <w:bookmarkEnd w:id="133"/>
      <w:bookmarkEnd w:id="134"/>
      <w:bookmarkEnd w:id="135"/>
      <w:bookmarkEnd w:id="136"/>
    </w:p>
    <w:p w14:paraId="5A9B042A">
      <w:pPr>
        <w:pStyle w:val="56"/>
        <w:spacing w:line="288" w:lineRule="auto"/>
        <w:ind w:firstLine="420"/>
      </w:pPr>
      <w:r>
        <w:t>防护隔断在防火性能试验中不应失去完整性和隔热性。</w:t>
      </w:r>
    </w:p>
    <w:p w14:paraId="07FBB041">
      <w:pPr>
        <w:pStyle w:val="104"/>
        <w:spacing w:before="240" w:after="240" w:line="288" w:lineRule="auto"/>
      </w:pPr>
      <w:bookmarkStart w:id="137" w:name="_Toc218526021"/>
      <w:bookmarkStart w:id="138" w:name="_Toc194306926"/>
      <w:bookmarkStart w:id="139" w:name="_Toc217980262"/>
      <w:bookmarkStart w:id="140" w:name="_Toc195881614"/>
      <w:bookmarkStart w:id="141" w:name="_Toc226641048"/>
      <w:bookmarkStart w:id="142" w:name="_Toc223100313"/>
      <w:bookmarkStart w:id="143" w:name="_Toc217921693"/>
      <w:bookmarkStart w:id="144" w:name="_Toc204954750"/>
      <w:bookmarkStart w:id="145" w:name="_Toc216857084"/>
      <w:bookmarkStart w:id="146" w:name="_Toc185347472"/>
      <w:bookmarkStart w:id="147" w:name="_Toc217978898"/>
      <w:r>
        <w:t>试验方法</w:t>
      </w:r>
      <w:bookmarkEnd w:id="137"/>
      <w:bookmarkEnd w:id="138"/>
      <w:bookmarkEnd w:id="139"/>
      <w:bookmarkEnd w:id="140"/>
      <w:bookmarkEnd w:id="141"/>
      <w:bookmarkEnd w:id="142"/>
      <w:bookmarkEnd w:id="143"/>
      <w:bookmarkEnd w:id="144"/>
      <w:bookmarkEnd w:id="145"/>
      <w:bookmarkEnd w:id="146"/>
      <w:bookmarkEnd w:id="147"/>
    </w:p>
    <w:p w14:paraId="5DA55DCA">
      <w:pPr>
        <w:pStyle w:val="105"/>
        <w:spacing w:before="120" w:after="120" w:line="288" w:lineRule="auto"/>
      </w:pPr>
      <w:bookmarkStart w:id="148" w:name="_Toc223100314"/>
      <w:bookmarkStart w:id="149" w:name="_Toc185347473"/>
      <w:bookmarkStart w:id="150" w:name="_Toc194306927"/>
      <w:bookmarkStart w:id="151" w:name="_Toc218526022"/>
      <w:bookmarkStart w:id="152" w:name="_Toc216857085"/>
      <w:bookmarkStart w:id="153" w:name="_Toc226641049"/>
      <w:bookmarkStart w:id="154" w:name="_Toc195881615"/>
      <w:bookmarkStart w:id="155" w:name="_Toc217978899"/>
      <w:bookmarkStart w:id="156" w:name="_Toc217980263"/>
      <w:bookmarkStart w:id="157" w:name="_Toc204954751"/>
      <w:bookmarkStart w:id="158" w:name="_Toc217921694"/>
      <w:r>
        <w:t>外观</w:t>
      </w:r>
      <w:bookmarkEnd w:id="148"/>
      <w:bookmarkEnd w:id="149"/>
      <w:bookmarkEnd w:id="150"/>
      <w:bookmarkEnd w:id="151"/>
      <w:bookmarkEnd w:id="152"/>
      <w:bookmarkEnd w:id="153"/>
      <w:bookmarkEnd w:id="154"/>
      <w:bookmarkEnd w:id="155"/>
      <w:bookmarkEnd w:id="156"/>
      <w:bookmarkEnd w:id="157"/>
      <w:bookmarkEnd w:id="158"/>
    </w:p>
    <w:p w14:paraId="2C0C06B8">
      <w:pPr>
        <w:pStyle w:val="56"/>
        <w:spacing w:line="288" w:lineRule="auto"/>
        <w:ind w:firstLine="420"/>
      </w:pPr>
      <w:r>
        <w:t>在自然光线充足的情况下,目测检验</w:t>
      </w:r>
      <w:r>
        <w:rPr>
          <w:rFonts w:hint="eastAsia"/>
        </w:rPr>
        <w:t>。</w:t>
      </w:r>
    </w:p>
    <w:p w14:paraId="646A8FBE">
      <w:pPr>
        <w:pStyle w:val="105"/>
        <w:spacing w:before="120" w:after="120" w:line="288" w:lineRule="auto"/>
      </w:pPr>
      <w:bookmarkStart w:id="159" w:name="_Toc185347474"/>
      <w:bookmarkStart w:id="160" w:name="_Toc226641050"/>
      <w:bookmarkStart w:id="161" w:name="_Toc194306928"/>
      <w:bookmarkStart w:id="162" w:name="_Toc217921695"/>
      <w:bookmarkStart w:id="163" w:name="_Toc195881616"/>
      <w:bookmarkStart w:id="164" w:name="_Toc216857086"/>
      <w:bookmarkStart w:id="165" w:name="_Toc204954752"/>
      <w:bookmarkStart w:id="166" w:name="_Toc223100315"/>
      <w:bookmarkStart w:id="167" w:name="_Toc217980264"/>
      <w:bookmarkStart w:id="168" w:name="_Toc217978900"/>
      <w:bookmarkStart w:id="169" w:name="_Toc218526023"/>
      <w:r>
        <w:t>尺寸偏差</w:t>
      </w:r>
      <w:bookmarkEnd w:id="159"/>
      <w:bookmarkEnd w:id="160"/>
      <w:bookmarkEnd w:id="161"/>
      <w:bookmarkEnd w:id="162"/>
      <w:bookmarkEnd w:id="163"/>
      <w:bookmarkEnd w:id="164"/>
      <w:bookmarkEnd w:id="165"/>
      <w:bookmarkEnd w:id="166"/>
      <w:bookmarkEnd w:id="167"/>
      <w:bookmarkEnd w:id="168"/>
      <w:bookmarkEnd w:id="169"/>
    </w:p>
    <w:p w14:paraId="67195020">
      <w:pPr>
        <w:pStyle w:val="165"/>
        <w:spacing w:line="288" w:lineRule="auto"/>
      </w:pPr>
      <w:r>
        <w:t>采用超声波测厚仪、游标卡尺或千分尺测量</w:t>
      </w:r>
      <w:r>
        <w:rPr>
          <w:rFonts w:hint="eastAsia"/>
        </w:rPr>
        <w:t>防护</w:t>
      </w:r>
      <w:r>
        <w:t>隔断的厚度</w:t>
      </w:r>
      <w:r>
        <w:rPr>
          <w:rFonts w:hint="eastAsia"/>
        </w:rPr>
        <w:t>。选择防护隔断任意三</w:t>
      </w:r>
      <w:r>
        <w:t>条边中点位置测量钢板厚度</w:t>
      </w:r>
      <w:r>
        <w:rPr>
          <w:rFonts w:hint="eastAsia"/>
        </w:rPr>
        <w:t>，</w:t>
      </w:r>
      <w:r>
        <w:t>取三点平均值与</w:t>
      </w:r>
      <w:r>
        <w:rPr>
          <w:rFonts w:hint="eastAsia"/>
        </w:rPr>
        <w:t>标示</w:t>
      </w:r>
      <w:r>
        <w:t>厚度相减得尺寸偏差值。</w:t>
      </w:r>
    </w:p>
    <w:p w14:paraId="5123CF3D">
      <w:pPr>
        <w:pStyle w:val="165"/>
        <w:spacing w:line="288" w:lineRule="auto"/>
      </w:pPr>
      <w:r>
        <w:t>采用钢卷尺测量</w:t>
      </w:r>
      <w:r>
        <w:rPr>
          <w:rFonts w:hint="eastAsia"/>
        </w:rPr>
        <w:t>防护</w:t>
      </w:r>
      <w:r>
        <w:t>隔断的宽度、高度尺寸</w:t>
      </w:r>
      <w:r>
        <w:rPr>
          <w:rFonts w:hint="eastAsia"/>
        </w:rPr>
        <w:t>，</w:t>
      </w:r>
      <w:r>
        <w:t>测量位置为距离</w:t>
      </w:r>
      <w:r>
        <w:rPr>
          <w:rFonts w:hint="eastAsia"/>
        </w:rPr>
        <w:t>防护隔断</w:t>
      </w:r>
      <w:r>
        <w:t>边缘50</w:t>
      </w:r>
      <w:r>
        <w:rPr>
          <w:rFonts w:hint="eastAsia"/>
        </w:rPr>
        <w:t xml:space="preserve"> </w:t>
      </w:r>
      <w:r>
        <w:t>mm处。测量值与</w:t>
      </w:r>
      <w:r>
        <w:rPr>
          <w:rFonts w:hint="eastAsia"/>
        </w:rPr>
        <w:t>标示</w:t>
      </w:r>
      <w:r>
        <w:t>值相减得尺寸偏差值。</w:t>
      </w:r>
    </w:p>
    <w:p w14:paraId="65D23B6A">
      <w:pPr>
        <w:pStyle w:val="105"/>
        <w:spacing w:before="120" w:after="120" w:line="288" w:lineRule="auto"/>
      </w:pPr>
      <w:bookmarkStart w:id="170" w:name="_Toc217921696"/>
      <w:bookmarkStart w:id="171" w:name="_Toc216857088"/>
      <w:bookmarkStart w:id="172" w:name="_Toc217980265"/>
      <w:bookmarkStart w:id="173" w:name="_Toc223100316"/>
      <w:bookmarkStart w:id="174" w:name="_Toc218526024"/>
      <w:bookmarkStart w:id="175" w:name="_Toc217978901"/>
      <w:bookmarkStart w:id="176" w:name="_Toc226641051"/>
      <w:bookmarkStart w:id="177" w:name="_Toc204954754"/>
      <w:r>
        <w:t>防火</w:t>
      </w:r>
      <w:r>
        <w:rPr>
          <w:rFonts w:hint="eastAsia"/>
        </w:rPr>
        <w:t>性能</w:t>
      </w:r>
      <w:bookmarkEnd w:id="170"/>
      <w:bookmarkEnd w:id="171"/>
      <w:bookmarkEnd w:id="172"/>
      <w:bookmarkEnd w:id="173"/>
      <w:bookmarkEnd w:id="174"/>
      <w:bookmarkEnd w:id="175"/>
      <w:bookmarkEnd w:id="176"/>
      <w:bookmarkEnd w:id="177"/>
    </w:p>
    <w:p w14:paraId="4D3E2CB2">
      <w:pPr>
        <w:pStyle w:val="56"/>
        <w:spacing w:line="288" w:lineRule="auto"/>
        <w:ind w:firstLine="420"/>
      </w:pPr>
      <w:r>
        <w:rPr>
          <w:rFonts w:hint="eastAsia"/>
        </w:rPr>
        <w:t>按</w:t>
      </w:r>
      <w:r>
        <w:t>附录</w:t>
      </w:r>
      <w:r>
        <w:rPr>
          <w:rFonts w:hint="eastAsia"/>
        </w:rPr>
        <w:t xml:space="preserve"> A 的规定进行</w:t>
      </w:r>
      <w:r>
        <w:t>。</w:t>
      </w:r>
    </w:p>
    <w:p w14:paraId="654584AD">
      <w:pPr>
        <w:pStyle w:val="104"/>
        <w:spacing w:before="240" w:after="240" w:line="288" w:lineRule="auto"/>
      </w:pPr>
      <w:bookmarkStart w:id="178" w:name="_Toc185347477"/>
      <w:bookmarkStart w:id="179" w:name="_Toc218526025"/>
      <w:bookmarkStart w:id="180" w:name="_Toc217980266"/>
      <w:bookmarkStart w:id="181" w:name="_Toc195881619"/>
      <w:bookmarkStart w:id="182" w:name="_Toc226641052"/>
      <w:bookmarkStart w:id="183" w:name="_Toc194306931"/>
      <w:bookmarkStart w:id="184" w:name="_Toc217978902"/>
      <w:bookmarkStart w:id="185" w:name="_Toc217921697"/>
      <w:bookmarkStart w:id="186" w:name="_Toc216857089"/>
      <w:bookmarkStart w:id="187" w:name="_Toc204954755"/>
      <w:bookmarkStart w:id="188" w:name="_Toc223100317"/>
      <w:r>
        <w:t>检验规则</w:t>
      </w:r>
      <w:bookmarkEnd w:id="178"/>
      <w:bookmarkEnd w:id="179"/>
      <w:bookmarkEnd w:id="180"/>
      <w:bookmarkEnd w:id="181"/>
      <w:bookmarkEnd w:id="182"/>
      <w:bookmarkEnd w:id="183"/>
      <w:bookmarkEnd w:id="184"/>
      <w:bookmarkEnd w:id="185"/>
      <w:bookmarkEnd w:id="186"/>
      <w:bookmarkEnd w:id="187"/>
      <w:bookmarkEnd w:id="188"/>
    </w:p>
    <w:p w14:paraId="36FFBCC9">
      <w:pPr>
        <w:pStyle w:val="105"/>
        <w:spacing w:before="120" w:after="120" w:line="288" w:lineRule="auto"/>
        <w:rPr>
          <w:szCs w:val="21"/>
        </w:rPr>
      </w:pPr>
      <w:bookmarkStart w:id="189" w:name="_Toc204954756"/>
      <w:bookmarkStart w:id="190" w:name="_Toc217921698"/>
      <w:bookmarkStart w:id="191" w:name="_Toc195881620"/>
      <w:bookmarkStart w:id="192" w:name="_Toc223100318"/>
      <w:bookmarkStart w:id="193" w:name="_Toc216857090"/>
      <w:bookmarkStart w:id="194" w:name="_Toc217978903"/>
      <w:bookmarkStart w:id="195" w:name="_Toc185347478"/>
      <w:bookmarkStart w:id="196" w:name="_Toc226641053"/>
      <w:bookmarkStart w:id="197" w:name="_Toc194306932"/>
      <w:bookmarkStart w:id="198" w:name="_Toc217980267"/>
      <w:bookmarkStart w:id="199" w:name="_Toc218526026"/>
      <w:r>
        <w:rPr>
          <w:rFonts w:hint="eastAsia"/>
          <w:szCs w:val="21"/>
        </w:rPr>
        <w:t>检验分类</w:t>
      </w:r>
      <w:bookmarkEnd w:id="189"/>
      <w:bookmarkEnd w:id="190"/>
      <w:bookmarkEnd w:id="191"/>
      <w:bookmarkEnd w:id="192"/>
      <w:bookmarkEnd w:id="193"/>
      <w:bookmarkEnd w:id="194"/>
      <w:bookmarkEnd w:id="195"/>
      <w:bookmarkEnd w:id="196"/>
      <w:bookmarkEnd w:id="197"/>
      <w:bookmarkEnd w:id="198"/>
      <w:bookmarkEnd w:id="199"/>
    </w:p>
    <w:p w14:paraId="0BFA3FFE">
      <w:pPr>
        <w:pStyle w:val="56"/>
        <w:spacing w:line="288" w:lineRule="auto"/>
        <w:ind w:firstLine="420"/>
      </w:pPr>
      <w:r>
        <w:rPr>
          <w:rFonts w:hint="eastAsia"/>
        </w:rPr>
        <w:t>分为出厂检验和型式检验。</w:t>
      </w:r>
    </w:p>
    <w:p w14:paraId="1A75A601">
      <w:pPr>
        <w:pStyle w:val="105"/>
        <w:spacing w:before="120" w:after="120" w:line="288" w:lineRule="auto"/>
      </w:pPr>
      <w:bookmarkStart w:id="200" w:name="_Toc217921699"/>
      <w:bookmarkStart w:id="201" w:name="_Toc216857091"/>
      <w:bookmarkStart w:id="202" w:name="_Toc223100319"/>
      <w:bookmarkStart w:id="203" w:name="_Toc194306934"/>
      <w:bookmarkStart w:id="204" w:name="_Toc226641054"/>
      <w:bookmarkStart w:id="205" w:name="_Toc217978904"/>
      <w:bookmarkStart w:id="206" w:name="_Toc217980268"/>
      <w:bookmarkStart w:id="207" w:name="_Toc204954758"/>
      <w:bookmarkStart w:id="208" w:name="_Toc195881622"/>
      <w:bookmarkStart w:id="209" w:name="_Toc185347480"/>
      <w:bookmarkStart w:id="210" w:name="_Toc218526027"/>
      <w:r>
        <w:t>出厂检验</w:t>
      </w:r>
      <w:bookmarkEnd w:id="200"/>
      <w:bookmarkEnd w:id="201"/>
      <w:bookmarkEnd w:id="202"/>
      <w:bookmarkEnd w:id="203"/>
      <w:bookmarkEnd w:id="204"/>
      <w:bookmarkEnd w:id="205"/>
      <w:bookmarkEnd w:id="206"/>
      <w:bookmarkEnd w:id="207"/>
      <w:bookmarkEnd w:id="208"/>
      <w:bookmarkEnd w:id="209"/>
      <w:bookmarkEnd w:id="210"/>
    </w:p>
    <w:p w14:paraId="2E6E26B7">
      <w:pPr>
        <w:pStyle w:val="165"/>
        <w:spacing w:line="288" w:lineRule="auto"/>
      </w:pPr>
      <w:r>
        <w:t>防护隔断产品</w:t>
      </w:r>
      <w:r>
        <w:rPr>
          <w:rFonts w:hint="eastAsia"/>
        </w:rPr>
        <w:t>出厂</w:t>
      </w:r>
      <w:r>
        <w:t>检验时</w:t>
      </w:r>
      <w:r>
        <w:rPr>
          <w:rFonts w:hint="eastAsia"/>
        </w:rPr>
        <w:t>，应对</w:t>
      </w:r>
      <w:r>
        <w:t>每</w:t>
      </w:r>
      <w:r>
        <w:rPr>
          <w:rFonts w:hint="eastAsia"/>
        </w:rPr>
        <w:t xml:space="preserve"> 1 组</w:t>
      </w:r>
      <w:r>
        <w:t>防护隔断进行检验的项目至少包括</w:t>
      </w:r>
      <w:r>
        <w:rPr>
          <w:rFonts w:hint="eastAsia"/>
        </w:rPr>
        <w:t xml:space="preserve"> 5.1、5.2 规定的项目</w:t>
      </w:r>
      <w:r>
        <w:t>。</w:t>
      </w:r>
    </w:p>
    <w:p w14:paraId="52D016B7">
      <w:pPr>
        <w:pStyle w:val="165"/>
        <w:spacing w:line="288" w:lineRule="auto"/>
      </w:pPr>
      <w:r>
        <w:t>防护隔断</w:t>
      </w:r>
      <w:r>
        <w:rPr>
          <w:rFonts w:hint="eastAsia"/>
        </w:rPr>
        <w:t>产品应由生产企业的质量检验部门按出厂检验项目逐项检验合格，</w:t>
      </w:r>
      <w:r>
        <w:t>签发合格证后方可出</w:t>
      </w:r>
      <w:r>
        <w:rPr>
          <w:rFonts w:hint="eastAsia"/>
        </w:rPr>
        <w:t>厂，</w:t>
      </w:r>
      <w:r>
        <w:t>并经安装验收合格后交付使用</w:t>
      </w:r>
      <w:r>
        <w:rPr>
          <w:rFonts w:hint="eastAsia"/>
        </w:rPr>
        <w:t>。</w:t>
      </w:r>
    </w:p>
    <w:p w14:paraId="14045B53">
      <w:pPr>
        <w:pStyle w:val="165"/>
        <w:spacing w:line="288" w:lineRule="auto"/>
      </w:pPr>
      <w:r>
        <w:rPr>
          <w:rFonts w:hint="eastAsia"/>
        </w:rPr>
        <w:t>生产企业可以在本文件基础上</w:t>
      </w:r>
      <w:r>
        <w:t>,结合其技术和制造能力水平制订不低于本文件及其他强制性标</w:t>
      </w:r>
      <w:r>
        <w:rPr>
          <w:rFonts w:hint="eastAsia"/>
        </w:rPr>
        <w:t>准要求的企业标准</w:t>
      </w:r>
      <w:r>
        <w:t>,并增加相应的出厂检验项目。</w:t>
      </w:r>
    </w:p>
    <w:p w14:paraId="063047C3">
      <w:pPr>
        <w:pStyle w:val="105"/>
        <w:spacing w:before="120" w:after="120" w:line="288" w:lineRule="auto"/>
        <w:rPr>
          <w:color w:val="000000" w:themeColor="text1"/>
          <w14:textFill>
            <w14:solidFill>
              <w14:schemeClr w14:val="tx1"/>
            </w14:solidFill>
          </w14:textFill>
        </w:rPr>
      </w:pPr>
      <w:bookmarkStart w:id="211" w:name="_Toc194306935"/>
      <w:bookmarkStart w:id="212" w:name="_Toc217978905"/>
      <w:bookmarkStart w:id="213" w:name="_Toc216857092"/>
      <w:bookmarkStart w:id="214" w:name="_Toc217980269"/>
      <w:bookmarkStart w:id="215" w:name="_Toc217921700"/>
      <w:bookmarkStart w:id="216" w:name="_Toc204954760"/>
      <w:bookmarkStart w:id="217" w:name="_Toc223100320"/>
      <w:bookmarkStart w:id="218" w:name="_Toc218526028"/>
      <w:bookmarkStart w:id="219" w:name="_Toc226641055"/>
      <w:bookmarkStart w:id="220" w:name="_Toc185347481"/>
      <w:bookmarkStart w:id="221" w:name="_Toc195881624"/>
      <w:r>
        <w:rPr>
          <w:rFonts w:hint="eastAsia"/>
          <w:color w:val="000000" w:themeColor="text1"/>
          <w14:textFill>
            <w14:solidFill>
              <w14:schemeClr w14:val="tx1"/>
            </w14:solidFill>
          </w14:textFill>
        </w:rPr>
        <w:t>型式检验</w:t>
      </w:r>
      <w:bookmarkEnd w:id="211"/>
      <w:bookmarkEnd w:id="212"/>
      <w:bookmarkEnd w:id="213"/>
      <w:bookmarkEnd w:id="214"/>
      <w:bookmarkEnd w:id="215"/>
      <w:bookmarkEnd w:id="216"/>
      <w:bookmarkEnd w:id="217"/>
      <w:bookmarkEnd w:id="218"/>
      <w:bookmarkEnd w:id="219"/>
      <w:bookmarkEnd w:id="220"/>
      <w:bookmarkEnd w:id="221"/>
    </w:p>
    <w:p w14:paraId="053DB7B2">
      <w:pPr>
        <w:pStyle w:val="165"/>
        <w:spacing w:line="288" w:lineRule="auto"/>
      </w:pPr>
      <w:r>
        <w:rPr>
          <w:rFonts w:hint="eastAsia"/>
        </w:rPr>
        <w:t>正常生产时每 2 年进行一次型式检验；有下列情况时也应进行型式检验：</w:t>
      </w:r>
    </w:p>
    <w:p w14:paraId="2BBCCF74">
      <w:pPr>
        <w:pStyle w:val="174"/>
        <w:spacing w:line="288" w:lineRule="auto"/>
      </w:pPr>
      <w:r>
        <w:rPr>
          <w:rFonts w:hint="eastAsia"/>
        </w:rPr>
        <w:t>新防护隔断试制鉴定；</w:t>
      </w:r>
    </w:p>
    <w:p w14:paraId="056F59EE">
      <w:pPr>
        <w:pStyle w:val="174"/>
        <w:spacing w:line="288" w:lineRule="auto"/>
      </w:pPr>
      <w:r>
        <w:rPr>
          <w:rFonts w:hint="eastAsia"/>
        </w:rPr>
        <w:t>材质、工艺有较大改变，可能影响防护隔断的性能；</w:t>
      </w:r>
    </w:p>
    <w:p w14:paraId="1BD9A933">
      <w:pPr>
        <w:pStyle w:val="174"/>
        <w:spacing w:line="288" w:lineRule="auto"/>
      </w:pPr>
      <w:r>
        <w:rPr>
          <w:rFonts w:hint="eastAsia"/>
        </w:rPr>
        <w:t>出厂检验的结果与上次型式检验有较大差异；</w:t>
      </w:r>
    </w:p>
    <w:p w14:paraId="083CC3AD">
      <w:pPr>
        <w:pStyle w:val="174"/>
        <w:spacing w:line="288" w:lineRule="auto"/>
      </w:pPr>
      <w:r>
        <w:rPr>
          <w:rFonts w:hint="eastAsia"/>
        </w:rPr>
        <w:t>停产 12 个月以上重新恢复生产。</w:t>
      </w:r>
    </w:p>
    <w:p w14:paraId="1E2B7587">
      <w:pPr>
        <w:pStyle w:val="165"/>
        <w:spacing w:line="288" w:lineRule="auto"/>
      </w:pPr>
      <w:r>
        <w:rPr>
          <w:rFonts w:hint="eastAsia"/>
        </w:rPr>
        <w:t>型式检验项目包括本文件第 5 章中的全部项目。</w:t>
      </w:r>
    </w:p>
    <w:p w14:paraId="04487FEF">
      <w:pPr>
        <w:pStyle w:val="165"/>
        <w:spacing w:line="288" w:lineRule="auto"/>
      </w:pPr>
      <w:r>
        <w:rPr>
          <w:rFonts w:hint="eastAsia"/>
        </w:rPr>
        <w:t>型式检验应从出厂检验合格的批次中随机抽取 2 组防护隔断作为检验样本，其中 1 组用于检验，另 1 组作为备查样品。</w:t>
      </w:r>
    </w:p>
    <w:p w14:paraId="6C6096AA">
      <w:pPr>
        <w:pStyle w:val="165"/>
        <w:spacing w:line="288" w:lineRule="auto"/>
        <w:rPr>
          <w:sz w:val="24"/>
          <w:szCs w:val="24"/>
        </w:rPr>
      </w:pPr>
      <w:r>
        <w:rPr>
          <w:rFonts w:hint="eastAsia"/>
        </w:rPr>
        <w:t>当型式检验结果全部符合本文件第 5 章的要求时，判定型式检验合格。若检验中出现任何一项不符</w:t>
      </w:r>
      <w:r>
        <w:rPr>
          <w:rFonts w:hint="eastAsia" w:hAnsi="宋体" w:cs="宋体"/>
        </w:rPr>
        <w:t>合</w:t>
      </w:r>
      <w:r>
        <w:rPr>
          <w:rFonts w:hint="eastAsia"/>
        </w:rPr>
        <w:t>本文件第 5 章的要求时</w:t>
      </w:r>
      <w:r>
        <w:rPr>
          <w:rFonts w:hint="eastAsia" w:hAnsi="宋体" w:cs="宋体"/>
        </w:rPr>
        <w:t>，</w:t>
      </w:r>
      <w:r>
        <w:rPr>
          <w:rFonts w:hint="eastAsia" w:hAnsi="宋体" w:cs="宋体"/>
          <w:szCs w:val="21"/>
        </w:rPr>
        <w:t>判定型式检验不合格，不允许复检。</w:t>
      </w:r>
    </w:p>
    <w:p w14:paraId="5080E35B">
      <w:pPr>
        <w:pStyle w:val="104"/>
        <w:spacing w:before="240" w:after="240" w:line="288" w:lineRule="auto"/>
      </w:pPr>
      <w:bookmarkStart w:id="222" w:name="_Toc194306936"/>
      <w:bookmarkStart w:id="223" w:name="_Toc204954761"/>
      <w:bookmarkStart w:id="224" w:name="_Toc223100321"/>
      <w:bookmarkStart w:id="225" w:name="_Toc217978906"/>
      <w:bookmarkStart w:id="226" w:name="_Toc217980270"/>
      <w:bookmarkStart w:id="227" w:name="_Toc218526029"/>
      <w:bookmarkStart w:id="228" w:name="_Toc185347482"/>
      <w:bookmarkStart w:id="229" w:name="_Toc216857093"/>
      <w:bookmarkStart w:id="230" w:name="_Toc195881625"/>
      <w:bookmarkStart w:id="231" w:name="_Toc226641056"/>
      <w:bookmarkStart w:id="232" w:name="_Toc217921701"/>
      <w:r>
        <w:rPr>
          <w:rFonts w:hint="eastAsia"/>
        </w:rPr>
        <w:t>标志、包装、运输和贮存</w:t>
      </w:r>
      <w:bookmarkEnd w:id="222"/>
      <w:bookmarkEnd w:id="223"/>
      <w:bookmarkEnd w:id="224"/>
      <w:bookmarkEnd w:id="225"/>
      <w:bookmarkEnd w:id="226"/>
      <w:bookmarkEnd w:id="227"/>
      <w:bookmarkEnd w:id="228"/>
      <w:bookmarkEnd w:id="229"/>
      <w:bookmarkEnd w:id="230"/>
      <w:bookmarkEnd w:id="231"/>
      <w:bookmarkEnd w:id="232"/>
    </w:p>
    <w:p w14:paraId="7B9EED9A">
      <w:pPr>
        <w:pStyle w:val="105"/>
        <w:spacing w:before="120" w:after="120" w:line="288" w:lineRule="auto"/>
      </w:pPr>
      <w:bookmarkStart w:id="233" w:name="_Toc226641057"/>
      <w:bookmarkStart w:id="234" w:name="_Toc194306937"/>
      <w:bookmarkStart w:id="235" w:name="_Toc216857094"/>
      <w:bookmarkStart w:id="236" w:name="_Toc217921702"/>
      <w:bookmarkStart w:id="237" w:name="_Toc195881626"/>
      <w:bookmarkStart w:id="238" w:name="_Toc204954762"/>
      <w:bookmarkStart w:id="239" w:name="_Toc185347483"/>
      <w:bookmarkStart w:id="240" w:name="_Toc223100322"/>
      <w:bookmarkStart w:id="241" w:name="_Toc218526030"/>
      <w:bookmarkStart w:id="242" w:name="_Toc217978907"/>
      <w:bookmarkStart w:id="243" w:name="_Toc217980271"/>
      <w:r>
        <w:rPr>
          <w:rFonts w:hint="eastAsia"/>
        </w:rPr>
        <w:t>标志</w:t>
      </w:r>
      <w:bookmarkEnd w:id="233"/>
      <w:bookmarkEnd w:id="234"/>
      <w:bookmarkEnd w:id="235"/>
      <w:bookmarkEnd w:id="236"/>
      <w:bookmarkEnd w:id="237"/>
      <w:bookmarkEnd w:id="238"/>
      <w:bookmarkEnd w:id="239"/>
      <w:bookmarkEnd w:id="240"/>
      <w:bookmarkEnd w:id="241"/>
      <w:bookmarkEnd w:id="242"/>
      <w:bookmarkEnd w:id="243"/>
      <w:r>
        <w:rPr>
          <w:rFonts w:hint="eastAsia"/>
        </w:rPr>
        <w:t xml:space="preserve"> </w:t>
      </w:r>
    </w:p>
    <w:p w14:paraId="1B0E1B18">
      <w:pPr>
        <w:pStyle w:val="165"/>
        <w:spacing w:line="288" w:lineRule="auto"/>
      </w:pPr>
      <w:r>
        <w:rPr>
          <w:rFonts w:hint="eastAsia"/>
        </w:rPr>
        <w:t xml:space="preserve">防护隔断的销售标志应至少包含下列内容： </w:t>
      </w:r>
    </w:p>
    <w:p w14:paraId="07321BCC">
      <w:pPr>
        <w:pStyle w:val="174"/>
        <w:numPr>
          <w:ilvl w:val="0"/>
          <w:numId w:val="32"/>
        </w:numPr>
        <w:spacing w:line="288" w:lineRule="auto"/>
      </w:pPr>
      <w:r>
        <w:rPr>
          <w:rFonts w:hint="eastAsia"/>
        </w:rPr>
        <w:t xml:space="preserve">防护隔断名称； </w:t>
      </w:r>
    </w:p>
    <w:p w14:paraId="28611DCE">
      <w:pPr>
        <w:pStyle w:val="174"/>
        <w:spacing w:line="288" w:lineRule="auto"/>
      </w:pPr>
      <w:r>
        <w:rPr>
          <w:rFonts w:hint="eastAsia"/>
        </w:rPr>
        <w:t xml:space="preserve">制造商名称及地址； </w:t>
      </w:r>
    </w:p>
    <w:p w14:paraId="30C12042">
      <w:pPr>
        <w:pStyle w:val="174"/>
        <w:spacing w:line="288" w:lineRule="auto"/>
      </w:pPr>
      <w:r>
        <w:rPr>
          <w:rFonts w:hint="eastAsia"/>
        </w:rPr>
        <w:t xml:space="preserve">执行标准号； </w:t>
      </w:r>
    </w:p>
    <w:p w14:paraId="7BFF5532">
      <w:pPr>
        <w:pStyle w:val="174"/>
        <w:spacing w:line="288" w:lineRule="auto"/>
      </w:pPr>
      <w:r>
        <w:rPr>
          <w:rFonts w:hint="eastAsia"/>
        </w:rPr>
        <w:t>生产日期及批号；</w:t>
      </w:r>
    </w:p>
    <w:p w14:paraId="0D745B79">
      <w:pPr>
        <w:pStyle w:val="174"/>
        <w:spacing w:line="288" w:lineRule="auto"/>
      </w:pPr>
      <w:r>
        <w:rPr>
          <w:rFonts w:hint="eastAsia"/>
        </w:rPr>
        <w:t>合格标识；</w:t>
      </w:r>
    </w:p>
    <w:p w14:paraId="43E5F19F">
      <w:pPr>
        <w:pStyle w:val="174"/>
        <w:spacing w:line="288" w:lineRule="auto"/>
      </w:pPr>
      <w:r>
        <w:rPr>
          <w:rFonts w:hint="eastAsia"/>
        </w:rPr>
        <w:t xml:space="preserve">规格尺寸。 </w:t>
      </w:r>
    </w:p>
    <w:p w14:paraId="6773313C">
      <w:pPr>
        <w:pStyle w:val="165"/>
        <w:spacing w:line="288" w:lineRule="auto"/>
      </w:pPr>
      <w:r>
        <w:rPr>
          <w:rFonts w:hint="eastAsia"/>
        </w:rPr>
        <w:t xml:space="preserve">防护隔断的储运标志按 GB/T 191 的规定选择使用，至少应有“向上”“怕雨”等标志，如用户有特殊要求，按合同约定执行。 </w:t>
      </w:r>
    </w:p>
    <w:p w14:paraId="4934A7C8">
      <w:pPr>
        <w:pStyle w:val="165"/>
        <w:spacing w:line="288" w:lineRule="auto"/>
      </w:pPr>
      <w:r>
        <w:rPr>
          <w:rFonts w:hint="eastAsia"/>
        </w:rPr>
        <w:t xml:space="preserve">标志应清晰、牢固，不应因运输条件和自然条件而褪色、变色、脱落。 </w:t>
      </w:r>
    </w:p>
    <w:p w14:paraId="04158D75">
      <w:pPr>
        <w:pStyle w:val="105"/>
        <w:spacing w:before="120" w:after="120" w:line="288" w:lineRule="auto"/>
      </w:pPr>
      <w:bookmarkStart w:id="244" w:name="_Toc217980272"/>
      <w:bookmarkStart w:id="245" w:name="_Toc217978908"/>
      <w:bookmarkStart w:id="246" w:name="_Toc195881627"/>
      <w:bookmarkStart w:id="247" w:name="_Toc218526031"/>
      <w:bookmarkStart w:id="248" w:name="_Toc185347484"/>
      <w:bookmarkStart w:id="249" w:name="_Toc223100323"/>
      <w:bookmarkStart w:id="250" w:name="_Toc216857095"/>
      <w:bookmarkStart w:id="251" w:name="_Toc226641058"/>
      <w:bookmarkStart w:id="252" w:name="_Toc194306938"/>
      <w:bookmarkStart w:id="253" w:name="_Toc217921703"/>
      <w:bookmarkStart w:id="254" w:name="_Toc204954763"/>
      <w:r>
        <w:rPr>
          <w:rFonts w:hint="eastAsia"/>
        </w:rPr>
        <w:t>包装</w:t>
      </w:r>
      <w:bookmarkEnd w:id="244"/>
      <w:bookmarkEnd w:id="245"/>
      <w:bookmarkEnd w:id="246"/>
      <w:bookmarkEnd w:id="247"/>
      <w:bookmarkEnd w:id="248"/>
      <w:bookmarkEnd w:id="249"/>
      <w:bookmarkEnd w:id="250"/>
      <w:bookmarkEnd w:id="251"/>
      <w:bookmarkEnd w:id="252"/>
      <w:bookmarkEnd w:id="253"/>
      <w:bookmarkEnd w:id="254"/>
      <w:r>
        <w:rPr>
          <w:rFonts w:hint="eastAsia"/>
        </w:rPr>
        <w:t xml:space="preserve"> </w:t>
      </w:r>
    </w:p>
    <w:p w14:paraId="49E08743">
      <w:pPr>
        <w:pStyle w:val="56"/>
        <w:spacing w:line="288" w:lineRule="auto"/>
        <w:ind w:firstLine="420"/>
      </w:pPr>
      <w:r>
        <w:rPr>
          <w:rFonts w:hint="eastAsia"/>
        </w:rPr>
        <w:t xml:space="preserve">包装应保证防护隔断不受损伤，应防尘、防震、防潮，便于运输和贮存。 </w:t>
      </w:r>
    </w:p>
    <w:p w14:paraId="45B1F34D">
      <w:pPr>
        <w:pStyle w:val="105"/>
        <w:spacing w:before="120" w:after="120" w:line="288" w:lineRule="auto"/>
      </w:pPr>
      <w:bookmarkStart w:id="255" w:name="_Toc195881628"/>
      <w:bookmarkStart w:id="256" w:name="_Toc185347485"/>
      <w:bookmarkStart w:id="257" w:name="_Toc194306939"/>
      <w:bookmarkStart w:id="258" w:name="_Toc223100324"/>
      <w:bookmarkStart w:id="259" w:name="_Toc216857096"/>
      <w:bookmarkStart w:id="260" w:name="_Toc218526032"/>
      <w:bookmarkStart w:id="261" w:name="_Toc217980273"/>
      <w:bookmarkStart w:id="262" w:name="_Toc217921704"/>
      <w:bookmarkStart w:id="263" w:name="_Toc204954764"/>
      <w:bookmarkStart w:id="264" w:name="_Toc226641059"/>
      <w:bookmarkStart w:id="265" w:name="_Toc217978909"/>
      <w:r>
        <w:rPr>
          <w:rFonts w:hint="eastAsia"/>
        </w:rPr>
        <w:t>运输</w:t>
      </w:r>
      <w:bookmarkEnd w:id="255"/>
      <w:bookmarkEnd w:id="256"/>
      <w:bookmarkEnd w:id="257"/>
      <w:bookmarkEnd w:id="258"/>
      <w:bookmarkEnd w:id="259"/>
      <w:bookmarkEnd w:id="260"/>
      <w:bookmarkEnd w:id="261"/>
      <w:bookmarkEnd w:id="262"/>
      <w:bookmarkEnd w:id="263"/>
      <w:bookmarkEnd w:id="264"/>
      <w:bookmarkEnd w:id="265"/>
      <w:r>
        <w:rPr>
          <w:rFonts w:hint="eastAsia"/>
        </w:rPr>
        <w:t xml:space="preserve"> </w:t>
      </w:r>
    </w:p>
    <w:p w14:paraId="56CFA245">
      <w:pPr>
        <w:pStyle w:val="56"/>
        <w:spacing w:line="288" w:lineRule="auto"/>
        <w:ind w:firstLine="420"/>
      </w:pPr>
      <w:r>
        <w:rPr>
          <w:rFonts w:hint="eastAsia"/>
        </w:rPr>
        <w:t xml:space="preserve">运输过程中，应采取防止防护隔断跌落、碰撞、挤压及雨淋、受潮等措施。 </w:t>
      </w:r>
    </w:p>
    <w:p w14:paraId="76910DF9">
      <w:pPr>
        <w:pStyle w:val="105"/>
        <w:spacing w:before="120" w:after="120" w:line="288" w:lineRule="auto"/>
      </w:pPr>
      <w:bookmarkStart w:id="266" w:name="_Toc194306940"/>
      <w:bookmarkStart w:id="267" w:name="_Toc204954765"/>
      <w:bookmarkStart w:id="268" w:name="_Toc195881629"/>
      <w:bookmarkStart w:id="269" w:name="_Toc217980274"/>
      <w:bookmarkStart w:id="270" w:name="_Toc185347486"/>
      <w:bookmarkStart w:id="271" w:name="_Toc218526033"/>
      <w:bookmarkStart w:id="272" w:name="_Toc226641060"/>
      <w:bookmarkStart w:id="273" w:name="_Toc216857097"/>
      <w:bookmarkStart w:id="274" w:name="_Toc223100325"/>
      <w:bookmarkStart w:id="275" w:name="_Toc217921705"/>
      <w:bookmarkStart w:id="276" w:name="_Toc217978910"/>
      <w:r>
        <w:rPr>
          <w:rFonts w:hint="eastAsia"/>
        </w:rPr>
        <w:t>贮存</w:t>
      </w:r>
      <w:bookmarkEnd w:id="266"/>
      <w:bookmarkEnd w:id="267"/>
      <w:bookmarkEnd w:id="268"/>
      <w:bookmarkEnd w:id="269"/>
      <w:bookmarkEnd w:id="270"/>
      <w:bookmarkEnd w:id="271"/>
      <w:bookmarkEnd w:id="272"/>
      <w:bookmarkEnd w:id="273"/>
      <w:bookmarkEnd w:id="274"/>
      <w:bookmarkEnd w:id="275"/>
      <w:bookmarkEnd w:id="276"/>
      <w:r>
        <w:rPr>
          <w:rFonts w:hint="eastAsia"/>
        </w:rPr>
        <w:t xml:space="preserve"> </w:t>
      </w:r>
    </w:p>
    <w:p w14:paraId="35D212A7">
      <w:pPr>
        <w:pStyle w:val="56"/>
        <w:spacing w:line="288" w:lineRule="auto"/>
        <w:ind w:firstLine="420"/>
      </w:pPr>
      <w:r>
        <w:rPr>
          <w:rFonts w:hint="eastAsia"/>
        </w:rPr>
        <w:t>防护隔断应贮存在通风、阴凉、干燥、清洁的仓库内，仓库内不应有腐蚀性化学物品及气体存在。</w:t>
      </w:r>
    </w:p>
    <w:bookmarkEnd w:id="32"/>
    <w:p w14:paraId="57225A9F">
      <w:pPr>
        <w:pStyle w:val="56"/>
        <w:ind w:firstLine="0" w:firstLineChars="0"/>
        <w:sectPr>
          <w:pgSz w:w="11906" w:h="16838"/>
          <w:pgMar w:top="2410" w:right="1134" w:bottom="1134" w:left="1134" w:header="1418" w:footer="1134" w:gutter="284"/>
          <w:pgNumType w:start="1"/>
          <w:cols w:space="425" w:num="1"/>
          <w:formProt w:val="0"/>
          <w:docGrid w:linePitch="312" w:charSpace="0"/>
        </w:sectPr>
      </w:pPr>
      <w:bookmarkStart w:id="277" w:name="BookMark5"/>
    </w:p>
    <w:p w14:paraId="5BFB6A50">
      <w:pPr>
        <w:pStyle w:val="198"/>
        <w:rPr>
          <w:rFonts w:hint="eastAsia"/>
          <w:vanish w:val="0"/>
        </w:rPr>
      </w:pPr>
    </w:p>
    <w:p w14:paraId="572A761F">
      <w:pPr>
        <w:pStyle w:val="199"/>
        <w:rPr>
          <w:vanish w:val="0"/>
        </w:rPr>
      </w:pPr>
    </w:p>
    <w:p w14:paraId="13027528">
      <w:pPr>
        <w:pStyle w:val="76"/>
        <w:spacing w:before="60" w:after="120"/>
      </w:pPr>
      <w:r>
        <w:br w:type="textWrapping"/>
      </w:r>
      <w:bookmarkStart w:id="278" w:name="_Toc195881633"/>
      <w:bookmarkStart w:id="279" w:name="_Toc226641061"/>
      <w:bookmarkStart w:id="280" w:name="_Toc223100326"/>
      <w:bookmarkStart w:id="281" w:name="_Toc204954766"/>
      <w:bookmarkStart w:id="282" w:name="_Toc217980275"/>
      <w:bookmarkStart w:id="283" w:name="_Toc217978911"/>
      <w:bookmarkStart w:id="284" w:name="_Toc217921706"/>
      <w:bookmarkStart w:id="285" w:name="_Toc216857098"/>
      <w:bookmarkStart w:id="286" w:name="_Toc185347487"/>
      <w:bookmarkStart w:id="287" w:name="_Toc218526034"/>
      <w:bookmarkStart w:id="288" w:name="_Toc194306941"/>
      <w:r>
        <w:rPr>
          <w:rFonts w:hint="eastAsia"/>
        </w:rPr>
        <w:t>（规范性）</w:t>
      </w:r>
      <w:r>
        <w:br w:type="textWrapping"/>
      </w:r>
      <w:r>
        <w:rPr>
          <w:rFonts w:hint="eastAsia"/>
        </w:rPr>
        <w:t>防火性能试验</w:t>
      </w:r>
      <w:bookmarkEnd w:id="278"/>
      <w:bookmarkEnd w:id="279"/>
      <w:bookmarkEnd w:id="280"/>
      <w:bookmarkEnd w:id="281"/>
      <w:bookmarkEnd w:id="282"/>
      <w:bookmarkEnd w:id="283"/>
      <w:bookmarkEnd w:id="284"/>
      <w:bookmarkEnd w:id="285"/>
      <w:bookmarkEnd w:id="286"/>
      <w:bookmarkEnd w:id="287"/>
      <w:bookmarkEnd w:id="288"/>
    </w:p>
    <w:p w14:paraId="6055369A">
      <w:pPr>
        <w:pStyle w:val="78"/>
        <w:spacing w:before="120" w:after="120" w:line="288" w:lineRule="auto"/>
      </w:pPr>
      <w:bookmarkStart w:id="289" w:name="_Toc217978912"/>
      <w:bookmarkStart w:id="290" w:name="_Toc218526035"/>
      <w:bookmarkStart w:id="291" w:name="_Toc204954767"/>
      <w:bookmarkStart w:id="292" w:name="_Toc194306942"/>
      <w:bookmarkStart w:id="293" w:name="_Toc217980276"/>
      <w:bookmarkStart w:id="294" w:name="_Toc216857099"/>
      <w:bookmarkStart w:id="295" w:name="_Toc223100327"/>
      <w:bookmarkStart w:id="296" w:name="_Toc185347488"/>
      <w:bookmarkStart w:id="297" w:name="_Toc226641062"/>
      <w:bookmarkStart w:id="298" w:name="_Toc195881634"/>
      <w:bookmarkStart w:id="299" w:name="_Toc217921707"/>
      <w:r>
        <w:t>试验样品</w:t>
      </w:r>
      <w:bookmarkEnd w:id="289"/>
      <w:bookmarkEnd w:id="290"/>
      <w:bookmarkEnd w:id="291"/>
      <w:bookmarkEnd w:id="292"/>
      <w:bookmarkEnd w:id="293"/>
      <w:bookmarkEnd w:id="294"/>
      <w:bookmarkEnd w:id="295"/>
      <w:bookmarkEnd w:id="296"/>
      <w:bookmarkEnd w:id="297"/>
      <w:bookmarkEnd w:id="298"/>
      <w:bookmarkEnd w:id="299"/>
    </w:p>
    <w:p w14:paraId="401C9F31">
      <w:pPr>
        <w:pStyle w:val="56"/>
        <w:ind w:firstLine="420"/>
      </w:pPr>
      <w:r>
        <w:rPr>
          <w:rFonts w:hint="eastAsia"/>
        </w:rPr>
        <w:t>试验样品为组装完成的防护隔断 1 组（如图 A.1 所示），单边长度不大于 5700 mm，单边宽度不大于 2500 mm，高度不小于 2000 mm。</w:t>
      </w:r>
    </w:p>
    <w:p w14:paraId="2513EE33">
      <w:pPr>
        <w:pStyle w:val="56"/>
        <w:spacing w:line="288" w:lineRule="auto"/>
        <w:ind w:firstLine="420"/>
        <w:jc w:val="center"/>
      </w:pPr>
      <w:r>
        <w:drawing>
          <wp:inline distT="0" distB="0" distL="0" distR="0">
            <wp:extent cx="3289300" cy="2559050"/>
            <wp:effectExtent l="0" t="0" r="6350" b="0"/>
            <wp:docPr id="1681119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19059" name="图片 1"/>
                    <pic:cNvPicPr>
                      <a:picLocks noChangeAspect="1"/>
                    </pic:cNvPicPr>
                  </pic:nvPicPr>
                  <pic:blipFill>
                    <a:blip r:embed="rId13"/>
                    <a:srcRect l="9038" r="1833" b="136"/>
                    <a:stretch>
                      <a:fillRect/>
                    </a:stretch>
                  </pic:blipFill>
                  <pic:spPr>
                    <a:xfrm>
                      <a:off x="0" y="0"/>
                      <a:ext cx="3289158" cy="2558916"/>
                    </a:xfrm>
                    <a:prstGeom prst="rect">
                      <a:avLst/>
                    </a:prstGeom>
                    <a:ln>
                      <a:noFill/>
                    </a:ln>
                  </pic:spPr>
                </pic:pic>
              </a:graphicData>
            </a:graphic>
          </wp:inline>
        </w:drawing>
      </w:r>
      <w:r>
        <w:t xml:space="preserve"> </w:t>
      </w:r>
      <w:r>
        <w:drawing>
          <wp:inline distT="0" distB="0" distL="0" distR="0">
            <wp:extent cx="1736090" cy="1254125"/>
            <wp:effectExtent l="0" t="0" r="0" b="3175"/>
            <wp:docPr id="1511336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6763"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6090" cy="1254125"/>
                    </a:xfrm>
                    <a:prstGeom prst="rect">
                      <a:avLst/>
                    </a:prstGeom>
                  </pic:spPr>
                </pic:pic>
              </a:graphicData>
            </a:graphic>
          </wp:inline>
        </w:drawing>
      </w:r>
    </w:p>
    <w:p w14:paraId="08A5D460">
      <w:pPr>
        <w:pStyle w:val="83"/>
        <w:spacing w:before="120" w:after="120" w:line="288" w:lineRule="auto"/>
      </w:pPr>
      <w:r>
        <w:rPr>
          <w:rFonts w:hint="eastAsia"/>
        </w:rPr>
        <w:t>防护隔断试验样品示意图</w:t>
      </w:r>
    </w:p>
    <w:p w14:paraId="5CD1230A">
      <w:pPr>
        <w:pStyle w:val="78"/>
        <w:spacing w:before="120" w:after="120" w:line="288" w:lineRule="auto"/>
      </w:pPr>
      <w:bookmarkStart w:id="300" w:name="_Toc204954768"/>
      <w:bookmarkStart w:id="301" w:name="_Toc217921708"/>
      <w:bookmarkStart w:id="302" w:name="_Toc195881635"/>
      <w:bookmarkStart w:id="303" w:name="_Toc217980277"/>
      <w:bookmarkStart w:id="304" w:name="_Toc218526036"/>
      <w:bookmarkStart w:id="305" w:name="_Toc223100328"/>
      <w:bookmarkStart w:id="306" w:name="_Toc194306943"/>
      <w:bookmarkStart w:id="307" w:name="_Toc216857100"/>
      <w:bookmarkStart w:id="308" w:name="_Toc185347489"/>
      <w:bookmarkStart w:id="309" w:name="_Toc217978913"/>
      <w:bookmarkStart w:id="310" w:name="_Toc226641063"/>
      <w:r>
        <w:t>试验准备</w:t>
      </w:r>
      <w:bookmarkEnd w:id="300"/>
      <w:bookmarkEnd w:id="301"/>
      <w:bookmarkEnd w:id="302"/>
      <w:bookmarkEnd w:id="303"/>
      <w:bookmarkEnd w:id="304"/>
      <w:bookmarkEnd w:id="305"/>
      <w:bookmarkEnd w:id="306"/>
      <w:bookmarkEnd w:id="307"/>
      <w:bookmarkEnd w:id="308"/>
      <w:bookmarkEnd w:id="309"/>
      <w:bookmarkEnd w:id="310"/>
    </w:p>
    <w:p w14:paraId="5E3A315D">
      <w:pPr>
        <w:pStyle w:val="212"/>
      </w:pPr>
      <w:r>
        <w:rPr>
          <w:rFonts w:hint="eastAsia"/>
        </w:rPr>
        <w:t xml:space="preserve">试验采用满足 </w:t>
      </w:r>
      <w:r>
        <w:t>GB 4066</w:t>
      </w:r>
      <w:r>
        <w:rPr>
          <w:rFonts w:hint="eastAsia" w:hAnsi="宋体"/>
        </w:rPr>
        <w:t>—</w:t>
      </w:r>
      <w:r>
        <w:t>2017</w:t>
      </w:r>
      <w:r>
        <w:rPr>
          <w:rFonts w:hint="eastAsia"/>
        </w:rPr>
        <w:t xml:space="preserve"> </w:t>
      </w:r>
      <w:r>
        <w:t>附录</w:t>
      </w:r>
      <w:r>
        <w:rPr>
          <w:rFonts w:hint="eastAsia"/>
        </w:rPr>
        <w:t xml:space="preserve"> </w:t>
      </w:r>
      <w:r>
        <w:t>C</w:t>
      </w:r>
      <w:r>
        <w:rPr>
          <w:rFonts w:hint="eastAsia"/>
        </w:rPr>
        <w:t xml:space="preserve"> </w:t>
      </w:r>
      <w:r>
        <w:t>中</w:t>
      </w:r>
      <w:r>
        <w:rPr>
          <w:rFonts w:hint="eastAsia"/>
        </w:rPr>
        <w:t xml:space="preserve"> </w:t>
      </w:r>
      <w:r>
        <w:t>C.2</w:t>
      </w:r>
      <w:r>
        <w:rPr>
          <w:rFonts w:hint="eastAsia"/>
        </w:rPr>
        <w:t xml:space="preserve"> </w:t>
      </w:r>
      <w:r>
        <w:t>要求的试验模型，其中包括</w:t>
      </w:r>
      <w:r>
        <w:rPr>
          <w:rFonts w:hint="eastAsia"/>
        </w:rPr>
        <w:t xml:space="preserve"> </w:t>
      </w:r>
      <w:r>
        <w:t>2A</w:t>
      </w:r>
      <w:r>
        <w:rPr>
          <w:rFonts w:hint="eastAsia"/>
        </w:rPr>
        <w:t xml:space="preserve"> </w:t>
      </w:r>
      <w:r>
        <w:t>木垛</w:t>
      </w:r>
      <w:r>
        <w:rPr>
          <w:rFonts w:hint="eastAsia"/>
        </w:rPr>
        <w:t xml:space="preserve"> </w:t>
      </w:r>
      <w:r>
        <w:t>10</w:t>
      </w:r>
      <w:r>
        <w:rPr>
          <w:rFonts w:hint="eastAsia"/>
        </w:rPr>
        <w:t xml:space="preserve"> </w:t>
      </w:r>
      <w:r>
        <w:t>个，引燃盘</w:t>
      </w:r>
      <w:r>
        <w:rPr>
          <w:rFonts w:hint="eastAsia"/>
        </w:rPr>
        <w:t xml:space="preserve"> </w:t>
      </w:r>
      <w:r>
        <w:t>10</w:t>
      </w:r>
      <w:r>
        <w:rPr>
          <w:rFonts w:hint="eastAsia"/>
        </w:rPr>
        <w:t xml:space="preserve"> </w:t>
      </w:r>
      <w:r>
        <w:t>个，引燃油量</w:t>
      </w:r>
      <w:r>
        <w:rPr>
          <w:rFonts w:hint="eastAsia"/>
        </w:rPr>
        <w:t xml:space="preserve"> </w:t>
      </w:r>
      <w:r>
        <w:t>20</w:t>
      </w:r>
      <w:r>
        <w:rPr>
          <w:rFonts w:hint="eastAsia"/>
        </w:rPr>
        <w:t xml:space="preserve"> </w:t>
      </w:r>
      <w:r>
        <w:t>L。试验的火源、条件等要求均按照</w:t>
      </w:r>
      <w:r>
        <w:rPr>
          <w:rFonts w:hint="eastAsia"/>
        </w:rPr>
        <w:t xml:space="preserve"> </w:t>
      </w:r>
      <w:r>
        <w:t>GB 4066</w:t>
      </w:r>
      <w:r>
        <w:rPr>
          <w:rFonts w:hint="eastAsia" w:hAnsi="宋体"/>
        </w:rPr>
        <w:t>—</w:t>
      </w:r>
      <w:r>
        <w:t>2017</w:t>
      </w:r>
      <w:r>
        <w:rPr>
          <w:rFonts w:hint="eastAsia"/>
        </w:rPr>
        <w:t xml:space="preserve"> </w:t>
      </w:r>
      <w:r>
        <w:t>附录</w:t>
      </w:r>
      <w:r>
        <w:rPr>
          <w:rFonts w:hint="eastAsia"/>
        </w:rPr>
        <w:t xml:space="preserve"> </w:t>
      </w:r>
      <w:r>
        <w:t>C</w:t>
      </w:r>
      <w:r>
        <w:rPr>
          <w:rFonts w:hint="eastAsia"/>
        </w:rPr>
        <w:t xml:space="preserve"> </w:t>
      </w:r>
      <w:r>
        <w:t>执行。火源布置的俯视图和侧视图如图</w:t>
      </w:r>
      <w:r>
        <w:rPr>
          <w:rFonts w:hint="eastAsia"/>
        </w:rPr>
        <w:t xml:space="preserve"> A.</w:t>
      </w:r>
      <w:r>
        <w:t>2</w:t>
      </w:r>
      <w:r>
        <w:rPr>
          <w:rFonts w:hint="eastAsia"/>
        </w:rPr>
        <w:t xml:space="preserve"> </w:t>
      </w:r>
      <w:r>
        <w:t>所示。</w:t>
      </w:r>
    </w:p>
    <w:p w14:paraId="7984AADA">
      <w:pPr>
        <w:pStyle w:val="56"/>
        <w:ind w:firstLine="420"/>
        <w:jc w:val="center"/>
      </w:pPr>
      <w:r>
        <w:drawing>
          <wp:inline distT="0" distB="0" distL="0" distR="0">
            <wp:extent cx="4714240" cy="2117090"/>
            <wp:effectExtent l="0" t="0" r="0" b="0"/>
            <wp:docPr id="1593028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28353" name="图片 1"/>
                    <pic:cNvPicPr>
                      <a:picLocks noChangeAspect="1"/>
                    </pic:cNvPicPr>
                  </pic:nvPicPr>
                  <pic:blipFill>
                    <a:blip r:embed="rId15"/>
                    <a:stretch>
                      <a:fillRect/>
                    </a:stretch>
                  </pic:blipFill>
                  <pic:spPr>
                    <a:xfrm>
                      <a:off x="0" y="0"/>
                      <a:ext cx="4714619" cy="2117776"/>
                    </a:xfrm>
                    <a:prstGeom prst="rect">
                      <a:avLst/>
                    </a:prstGeom>
                  </pic:spPr>
                </pic:pic>
              </a:graphicData>
            </a:graphic>
          </wp:inline>
        </w:drawing>
      </w:r>
    </w:p>
    <w:p w14:paraId="719B66E0">
      <w:pPr>
        <w:pStyle w:val="56"/>
        <w:ind w:firstLine="360"/>
        <w:jc w:val="center"/>
        <w:rPr>
          <w:sz w:val="18"/>
        </w:rPr>
      </w:pPr>
      <w:r>
        <w:rPr>
          <w:rFonts w:hint="eastAsia"/>
          <w:sz w:val="18"/>
        </w:rPr>
        <w:t>a)俯视图</w:t>
      </w:r>
    </w:p>
    <w:p w14:paraId="71C69EFA">
      <w:pPr>
        <w:pStyle w:val="56"/>
        <w:ind w:firstLine="420"/>
        <w:jc w:val="center"/>
        <w:rPr>
          <w:sz w:val="18"/>
        </w:rPr>
      </w:pPr>
      <w:r>
        <w:drawing>
          <wp:inline distT="0" distB="0" distL="0" distR="0">
            <wp:extent cx="4755515" cy="1757680"/>
            <wp:effectExtent l="0" t="0" r="6985" b="0"/>
            <wp:docPr id="6025215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21595" name="图片 1"/>
                    <pic:cNvPicPr>
                      <a:picLocks noChangeAspect="1"/>
                    </pic:cNvPicPr>
                  </pic:nvPicPr>
                  <pic:blipFill>
                    <a:blip r:embed="rId16"/>
                    <a:stretch>
                      <a:fillRect/>
                    </a:stretch>
                  </pic:blipFill>
                  <pic:spPr>
                    <a:xfrm>
                      <a:off x="0" y="0"/>
                      <a:ext cx="4760700" cy="1759613"/>
                    </a:xfrm>
                    <a:prstGeom prst="rect">
                      <a:avLst/>
                    </a:prstGeom>
                  </pic:spPr>
                </pic:pic>
              </a:graphicData>
            </a:graphic>
          </wp:inline>
        </w:drawing>
      </w:r>
    </w:p>
    <w:p w14:paraId="6BCDC38B">
      <w:pPr>
        <w:pStyle w:val="56"/>
        <w:ind w:firstLine="360"/>
        <w:jc w:val="center"/>
        <w:rPr>
          <w:sz w:val="18"/>
        </w:rPr>
      </w:pPr>
      <w:r>
        <w:rPr>
          <w:rFonts w:hint="eastAsia"/>
          <w:sz w:val="18"/>
        </w:rPr>
        <w:t>b)侧视图</w:t>
      </w:r>
    </w:p>
    <w:p w14:paraId="4FD3ACE6">
      <w:pPr>
        <w:pStyle w:val="83"/>
        <w:spacing w:before="120" w:after="120"/>
      </w:pPr>
      <w:r>
        <w:t>火源布置示意图</w:t>
      </w:r>
    </w:p>
    <w:p w14:paraId="069CC1B5">
      <w:pPr>
        <w:pStyle w:val="212"/>
        <w:wordWrap/>
        <w:spacing w:line="288" w:lineRule="auto"/>
      </w:pPr>
      <w:r>
        <w:rPr>
          <w:rFonts w:hint="eastAsia"/>
        </w:rPr>
        <w:t>每个引燃盘布置两个遥控电打火装置。</w:t>
      </w:r>
    </w:p>
    <w:p w14:paraId="46C0018A">
      <w:pPr>
        <w:pStyle w:val="212"/>
        <w:wordWrap/>
        <w:spacing w:line="288" w:lineRule="auto"/>
      </w:pPr>
      <w:r>
        <w:rPr>
          <w:rFonts w:hint="eastAsia"/>
        </w:rPr>
        <w:t xml:space="preserve">试验的温度采集装置采用无纸记录仪，温度采集间隔设置为 </w:t>
      </w:r>
      <w:r>
        <w:t>1</w:t>
      </w:r>
      <w:r>
        <w:rPr>
          <w:rFonts w:hint="eastAsia"/>
        </w:rPr>
        <w:t xml:space="preserve"> </w:t>
      </w:r>
      <w:r>
        <w:t>s。</w:t>
      </w:r>
    </w:p>
    <w:p w14:paraId="4F07DB3B">
      <w:pPr>
        <w:pStyle w:val="212"/>
        <w:wordWrap/>
        <w:spacing w:line="288" w:lineRule="auto"/>
      </w:pPr>
      <w:r>
        <w:rPr>
          <w:rFonts w:hint="eastAsia"/>
        </w:rPr>
        <w:t xml:space="preserve">试验热电偶采用 </w:t>
      </w:r>
      <w:r>
        <w:t>K</w:t>
      </w:r>
      <w:r>
        <w:rPr>
          <w:rFonts w:hint="eastAsia"/>
        </w:rPr>
        <w:t xml:space="preserve"> </w:t>
      </w:r>
      <w:r>
        <w:t>型热电偶作为温度测点，温度测点分为背火面测点、周边温度测点</w:t>
      </w:r>
      <w:r>
        <w:rPr>
          <w:rFonts w:hint="eastAsia"/>
        </w:rPr>
        <w:t>、</w:t>
      </w:r>
      <w:r>
        <w:t>受火面测点和顶部</w:t>
      </w:r>
      <w:r>
        <w:rPr>
          <w:rFonts w:hint="eastAsia"/>
        </w:rPr>
        <w:t>温度</w:t>
      </w:r>
      <w:r>
        <w:t>测点。测点布置图</w:t>
      </w:r>
      <w:r>
        <w:rPr>
          <w:rFonts w:hint="eastAsia"/>
        </w:rPr>
        <w:t>见</w:t>
      </w:r>
      <w:r>
        <w:t>图</w:t>
      </w:r>
      <w:r>
        <w:rPr>
          <w:rFonts w:hint="eastAsia"/>
        </w:rPr>
        <w:t xml:space="preserve"> A.</w:t>
      </w:r>
      <w:r>
        <w:t>3。</w:t>
      </w:r>
    </w:p>
    <w:p w14:paraId="7B7246F0">
      <w:pPr>
        <w:pStyle w:val="212"/>
        <w:numPr>
          <w:ilvl w:val="0"/>
          <w:numId w:val="0"/>
        </w:numPr>
        <w:wordWrap/>
        <w:spacing w:line="288" w:lineRule="auto"/>
      </w:pPr>
    </w:p>
    <w:p w14:paraId="6A186397">
      <w:pPr>
        <w:pStyle w:val="212"/>
        <w:numPr>
          <w:ilvl w:val="0"/>
          <w:numId w:val="0"/>
        </w:numPr>
        <w:wordWrap/>
        <w:spacing w:line="288" w:lineRule="auto"/>
        <w:jc w:val="center"/>
      </w:pPr>
      <w:r>
        <w:drawing>
          <wp:inline distT="0" distB="0" distL="0" distR="0">
            <wp:extent cx="3762375" cy="3021965"/>
            <wp:effectExtent l="0" t="0" r="0" b="6985"/>
            <wp:docPr id="1410114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14972" name="图片 1"/>
                    <pic:cNvPicPr>
                      <a:picLocks noChangeAspect="1"/>
                    </pic:cNvPicPr>
                  </pic:nvPicPr>
                  <pic:blipFill>
                    <a:blip r:embed="rId17"/>
                    <a:stretch>
                      <a:fillRect/>
                    </a:stretch>
                  </pic:blipFill>
                  <pic:spPr>
                    <a:xfrm>
                      <a:off x="0" y="0"/>
                      <a:ext cx="3771137" cy="3029259"/>
                    </a:xfrm>
                    <a:prstGeom prst="rect">
                      <a:avLst/>
                    </a:prstGeom>
                  </pic:spPr>
                </pic:pic>
              </a:graphicData>
            </a:graphic>
          </wp:inline>
        </w:drawing>
      </w:r>
    </w:p>
    <w:p w14:paraId="44B1822E">
      <w:pPr>
        <w:pStyle w:val="212"/>
        <w:numPr>
          <w:ilvl w:val="0"/>
          <w:numId w:val="0"/>
        </w:numPr>
        <w:wordWrap/>
        <w:spacing w:line="288" w:lineRule="auto"/>
        <w:jc w:val="center"/>
        <w:rPr>
          <w:sz w:val="18"/>
          <w:szCs w:val="18"/>
        </w:rPr>
      </w:pPr>
      <w:r>
        <w:rPr>
          <w:rFonts w:hint="eastAsia"/>
          <w:sz w:val="18"/>
          <w:szCs w:val="18"/>
        </w:rPr>
        <w:t>a)  背火面测点</w:t>
      </w:r>
      <w:r>
        <w:rPr>
          <w:sz w:val="18"/>
          <w:szCs w:val="18"/>
        </w:rPr>
        <w:t>（共</w:t>
      </w:r>
      <w:r>
        <w:rPr>
          <w:rFonts w:hint="eastAsia"/>
          <w:sz w:val="18"/>
          <w:szCs w:val="18"/>
        </w:rPr>
        <w:t xml:space="preserve"> 40 个测点</w:t>
      </w:r>
      <w:r>
        <w:rPr>
          <w:sz w:val="18"/>
          <w:szCs w:val="18"/>
        </w:rPr>
        <w:t>）</w:t>
      </w:r>
    </w:p>
    <w:p w14:paraId="68DBEEE2">
      <w:pPr>
        <w:pStyle w:val="212"/>
        <w:numPr>
          <w:ilvl w:val="0"/>
          <w:numId w:val="0"/>
        </w:numPr>
        <w:wordWrap/>
        <w:spacing w:line="288" w:lineRule="auto"/>
        <w:jc w:val="center"/>
        <w:rPr>
          <w:sz w:val="18"/>
          <w:szCs w:val="18"/>
        </w:rPr>
      </w:pPr>
    </w:p>
    <w:p w14:paraId="58683B94">
      <w:pPr>
        <w:pStyle w:val="212"/>
        <w:numPr>
          <w:ilvl w:val="0"/>
          <w:numId w:val="0"/>
        </w:numPr>
        <w:wordWrap/>
        <w:spacing w:line="288" w:lineRule="auto"/>
        <w:jc w:val="center"/>
        <w:rPr>
          <w:sz w:val="18"/>
          <w:szCs w:val="18"/>
        </w:rPr>
      </w:pPr>
      <w:r>
        <w:drawing>
          <wp:anchor distT="0" distB="0" distL="114300" distR="114300" simplePos="0" relativeHeight="251661312" behindDoc="0" locked="0" layoutInCell="1" allowOverlap="1">
            <wp:simplePos x="0" y="0"/>
            <wp:positionH relativeFrom="column">
              <wp:posOffset>3938270</wp:posOffset>
            </wp:positionH>
            <wp:positionV relativeFrom="paragraph">
              <wp:posOffset>4445</wp:posOffset>
            </wp:positionV>
            <wp:extent cx="1506855" cy="1072515"/>
            <wp:effectExtent l="0" t="0" r="0" b="0"/>
            <wp:wrapNone/>
            <wp:docPr id="1094527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2779"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13654" cy="1077400"/>
                    </a:xfrm>
                    <a:prstGeom prst="rect">
                      <a:avLst/>
                    </a:prstGeom>
                    <a:noFill/>
                  </pic:spPr>
                </pic:pic>
              </a:graphicData>
            </a:graphic>
          </wp:anchor>
        </w:drawing>
      </w:r>
      <w:r>
        <w:rPr>
          <w:sz w:val="18"/>
          <w:szCs w:val="18"/>
        </w:rPr>
        <w:drawing>
          <wp:inline distT="0" distB="0" distL="0" distR="0">
            <wp:extent cx="3413760" cy="24403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17242" cy="2442532"/>
                    </a:xfrm>
                    <a:prstGeom prst="rect">
                      <a:avLst/>
                    </a:prstGeom>
                    <a:noFill/>
                  </pic:spPr>
                </pic:pic>
              </a:graphicData>
            </a:graphic>
          </wp:inline>
        </w:drawing>
      </w:r>
      <w:r>
        <w:rPr>
          <w:rFonts w:hint="eastAsia"/>
        </w:rPr>
        <w:t xml:space="preserve"> </w:t>
      </w:r>
      <w:r>
        <w:drawing>
          <wp:inline distT="0" distB="0" distL="0" distR="0">
            <wp:extent cx="1502410" cy="1211580"/>
            <wp:effectExtent l="0" t="0" r="2540" b="7620"/>
            <wp:docPr id="453462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62558"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2410" cy="1211580"/>
                    </a:xfrm>
                    <a:prstGeom prst="rect">
                      <a:avLst/>
                    </a:prstGeom>
                  </pic:spPr>
                </pic:pic>
              </a:graphicData>
            </a:graphic>
          </wp:inline>
        </w:drawing>
      </w:r>
    </w:p>
    <w:p w14:paraId="31C270B0">
      <w:pPr>
        <w:pStyle w:val="212"/>
        <w:numPr>
          <w:ilvl w:val="0"/>
          <w:numId w:val="0"/>
        </w:numPr>
        <w:wordWrap/>
        <w:spacing w:line="288" w:lineRule="auto"/>
        <w:jc w:val="center"/>
        <w:rPr>
          <w:sz w:val="18"/>
          <w:szCs w:val="18"/>
        </w:rPr>
      </w:pPr>
    </w:p>
    <w:p w14:paraId="0B69D433">
      <w:pPr>
        <w:pStyle w:val="179"/>
      </w:pPr>
      <w:r>
        <w:rPr>
          <w:rFonts w:hint="eastAsia"/>
        </w:rPr>
        <w:t>周边温度测点布置于背火面外侧，距离隔断 200 mm，距离地面 200 mm，居中布置 13 个点，每个点的间距为1000 mm。</w:t>
      </w:r>
    </w:p>
    <w:p w14:paraId="75FE6E35">
      <w:pPr>
        <w:pStyle w:val="212"/>
        <w:numPr>
          <w:ilvl w:val="0"/>
          <w:numId w:val="0"/>
        </w:numPr>
        <w:spacing w:line="288" w:lineRule="auto"/>
        <w:ind w:left="1680"/>
        <w:rPr>
          <w:sz w:val="18"/>
          <w:szCs w:val="18"/>
        </w:rPr>
      </w:pPr>
      <w:r>
        <w:rPr>
          <w:rFonts w:hint="eastAsia"/>
          <w:sz w:val="18"/>
          <w:szCs w:val="18"/>
        </w:rPr>
        <w:t xml:space="preserve">                   b)  </w:t>
      </w:r>
      <w:r>
        <w:rPr>
          <w:sz w:val="18"/>
          <w:szCs w:val="18"/>
        </w:rPr>
        <w:t>周边温度测点（共</w:t>
      </w:r>
      <w:r>
        <w:rPr>
          <w:rFonts w:hint="eastAsia"/>
          <w:sz w:val="18"/>
          <w:szCs w:val="18"/>
        </w:rPr>
        <w:t xml:space="preserve"> 13 </w:t>
      </w:r>
      <w:r>
        <w:rPr>
          <w:sz w:val="18"/>
          <w:szCs w:val="18"/>
        </w:rPr>
        <w:t>个测点）</w:t>
      </w:r>
    </w:p>
    <w:p w14:paraId="3CD6E49C">
      <w:pPr>
        <w:pStyle w:val="212"/>
        <w:numPr>
          <w:ilvl w:val="0"/>
          <w:numId w:val="0"/>
        </w:numPr>
        <w:wordWrap/>
        <w:spacing w:line="288" w:lineRule="auto"/>
        <w:jc w:val="center"/>
        <w:rPr>
          <w:sz w:val="18"/>
          <w:szCs w:val="18"/>
        </w:rPr>
      </w:pPr>
      <w:r>
        <w:drawing>
          <wp:inline distT="0" distB="0" distL="0" distR="0">
            <wp:extent cx="3257550" cy="2837815"/>
            <wp:effectExtent l="0" t="0" r="0" b="635"/>
            <wp:docPr id="1334100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00430" name="图片 1"/>
                    <pic:cNvPicPr>
                      <a:picLocks noChangeAspect="1"/>
                    </pic:cNvPicPr>
                  </pic:nvPicPr>
                  <pic:blipFill>
                    <a:blip r:embed="rId21"/>
                    <a:stretch>
                      <a:fillRect/>
                    </a:stretch>
                  </pic:blipFill>
                  <pic:spPr>
                    <a:xfrm>
                      <a:off x="0" y="0"/>
                      <a:ext cx="3269671" cy="2848464"/>
                    </a:xfrm>
                    <a:prstGeom prst="rect">
                      <a:avLst/>
                    </a:prstGeom>
                  </pic:spPr>
                </pic:pic>
              </a:graphicData>
            </a:graphic>
          </wp:inline>
        </w:drawing>
      </w:r>
    </w:p>
    <w:p w14:paraId="1B0D0A2B">
      <w:pPr>
        <w:pStyle w:val="179"/>
      </w:pPr>
      <w:r>
        <w:rPr>
          <w:rFonts w:hint="eastAsia"/>
        </w:rPr>
        <w:t>受火面温度测点布置在防护隔断内侧，在开口左侧和背面内侧中线位置、一侧长边的两端共</w:t>
      </w:r>
      <w:r>
        <w:t xml:space="preserve"> 4</w:t>
      </w:r>
      <w:r>
        <w:rPr>
          <w:rFonts w:hint="eastAsia"/>
        </w:rPr>
        <w:t xml:space="preserve"> </w:t>
      </w:r>
      <w:r>
        <w:t>个位置</w:t>
      </w:r>
      <w:r>
        <w:rPr>
          <w:rFonts w:hint="eastAsia"/>
        </w:rPr>
        <w:t>，</w:t>
      </w:r>
      <w:r>
        <w:t>每个位置布置 3 个测点，测点高度距离地面分别为</w:t>
      </w:r>
      <w:r>
        <w:rPr>
          <w:rFonts w:hint="eastAsia"/>
        </w:rPr>
        <w:t xml:space="preserve"> </w:t>
      </w:r>
      <w:r>
        <w:t>200</w:t>
      </w:r>
      <w:r>
        <w:rPr>
          <w:rFonts w:hint="eastAsia"/>
        </w:rPr>
        <w:t xml:space="preserve"> </w:t>
      </w:r>
      <w:r>
        <w:t>mm、1000</w:t>
      </w:r>
      <w:r>
        <w:rPr>
          <w:rFonts w:hint="eastAsia"/>
        </w:rPr>
        <w:t xml:space="preserve"> </w:t>
      </w:r>
      <w:r>
        <w:t>mm、2000</w:t>
      </w:r>
      <w:r>
        <w:rPr>
          <w:rFonts w:hint="eastAsia"/>
        </w:rPr>
        <w:t xml:space="preserve"> </w:t>
      </w:r>
      <w:r>
        <w:t>mm。</w:t>
      </w:r>
    </w:p>
    <w:p w14:paraId="5E4BD0C3">
      <w:pPr>
        <w:pStyle w:val="56"/>
        <w:ind w:firstLine="420"/>
      </w:pPr>
    </w:p>
    <w:p w14:paraId="1D94AB13">
      <w:pPr>
        <w:pStyle w:val="56"/>
        <w:ind w:firstLine="360"/>
        <w:jc w:val="center"/>
        <w:rPr>
          <w:sz w:val="18"/>
          <w:szCs w:val="18"/>
        </w:rPr>
      </w:pPr>
      <w:r>
        <w:rPr>
          <w:rFonts w:hint="eastAsia"/>
          <w:sz w:val="18"/>
          <w:szCs w:val="18"/>
        </w:rPr>
        <w:t>c</w:t>
      </w:r>
      <w:r>
        <w:rPr>
          <w:sz w:val="18"/>
          <w:szCs w:val="18"/>
        </w:rPr>
        <w:t xml:space="preserve">)  受火面温度测点（共 </w:t>
      </w:r>
      <w:r>
        <w:rPr>
          <w:rFonts w:hint="eastAsia"/>
          <w:sz w:val="18"/>
          <w:szCs w:val="18"/>
        </w:rPr>
        <w:t>12</w:t>
      </w:r>
      <w:r>
        <w:rPr>
          <w:sz w:val="18"/>
          <w:szCs w:val="18"/>
        </w:rPr>
        <w:t xml:space="preserve"> 个测点）</w:t>
      </w:r>
    </w:p>
    <w:p w14:paraId="6B73B065">
      <w:pPr>
        <w:pStyle w:val="56"/>
        <w:ind w:firstLine="420"/>
        <w:jc w:val="center"/>
      </w:pPr>
      <w:r>
        <w:drawing>
          <wp:inline distT="0" distB="0" distL="0" distR="0">
            <wp:extent cx="3395980" cy="2783840"/>
            <wp:effectExtent l="0" t="0" r="0" b="0"/>
            <wp:docPr id="1830702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02862" name="图片 1"/>
                    <pic:cNvPicPr>
                      <a:picLocks noChangeAspect="1"/>
                    </pic:cNvPicPr>
                  </pic:nvPicPr>
                  <pic:blipFill>
                    <a:blip r:embed="rId22"/>
                    <a:stretch>
                      <a:fillRect/>
                    </a:stretch>
                  </pic:blipFill>
                  <pic:spPr>
                    <a:xfrm>
                      <a:off x="0" y="0"/>
                      <a:ext cx="3420281" cy="2803797"/>
                    </a:xfrm>
                    <a:prstGeom prst="rect">
                      <a:avLst/>
                    </a:prstGeom>
                  </pic:spPr>
                </pic:pic>
              </a:graphicData>
            </a:graphic>
          </wp:inline>
        </w:drawing>
      </w:r>
    </w:p>
    <w:p w14:paraId="5043113F">
      <w:pPr>
        <w:pStyle w:val="179"/>
      </w:pPr>
      <w:r>
        <w:rPr>
          <w:rFonts w:hint="eastAsia"/>
        </w:rPr>
        <w:t>顶部测温点布置于隔断顶部中心位置及两侧，分别距离开口处顶部中心点400mm、2880mm、5360mm。</w:t>
      </w:r>
    </w:p>
    <w:p w14:paraId="37F96FC9">
      <w:pPr>
        <w:pStyle w:val="56"/>
        <w:ind w:firstLine="420"/>
      </w:pPr>
    </w:p>
    <w:p w14:paraId="774239F3">
      <w:pPr>
        <w:pStyle w:val="56"/>
        <w:ind w:firstLine="360"/>
        <w:jc w:val="center"/>
        <w:rPr>
          <w:sz w:val="18"/>
          <w:szCs w:val="18"/>
        </w:rPr>
      </w:pPr>
      <w:r>
        <w:rPr>
          <w:rFonts w:hint="eastAsia"/>
          <w:sz w:val="18"/>
          <w:szCs w:val="18"/>
        </w:rPr>
        <w:t>d</w:t>
      </w:r>
      <w:r>
        <w:rPr>
          <w:sz w:val="18"/>
          <w:szCs w:val="18"/>
        </w:rPr>
        <w:t xml:space="preserve">)  </w:t>
      </w:r>
      <w:r>
        <w:rPr>
          <w:rFonts w:hint="eastAsia"/>
          <w:sz w:val="18"/>
          <w:szCs w:val="18"/>
        </w:rPr>
        <w:t>顶部</w:t>
      </w:r>
      <w:r>
        <w:rPr>
          <w:sz w:val="18"/>
          <w:szCs w:val="18"/>
        </w:rPr>
        <w:t xml:space="preserve">温度测点（共 </w:t>
      </w:r>
      <w:r>
        <w:rPr>
          <w:rFonts w:hint="eastAsia"/>
          <w:sz w:val="18"/>
          <w:szCs w:val="18"/>
        </w:rPr>
        <w:t>3</w:t>
      </w:r>
      <w:r>
        <w:rPr>
          <w:sz w:val="18"/>
          <w:szCs w:val="18"/>
        </w:rPr>
        <w:t xml:space="preserve"> 个测点）</w:t>
      </w:r>
    </w:p>
    <w:p w14:paraId="42B60781">
      <w:pPr>
        <w:pStyle w:val="83"/>
        <w:spacing w:before="120" w:after="120"/>
      </w:pPr>
      <w:r>
        <w:rPr>
          <w:rFonts w:hint="eastAsia"/>
        </w:rPr>
        <w:t>背火面、周边温度、受火面和顶部温度测点布置图</w:t>
      </w:r>
    </w:p>
    <w:p w14:paraId="5C4AACD0">
      <w:pPr>
        <w:pStyle w:val="79"/>
        <w:wordWrap/>
        <w:spacing w:before="120" w:after="120" w:line="288" w:lineRule="auto"/>
        <w:rPr>
          <w:rFonts w:ascii="宋体" w:eastAsia="宋体"/>
        </w:rPr>
      </w:pPr>
      <w:r>
        <w:rPr>
          <w:rFonts w:hint="eastAsia" w:ascii="宋体" w:eastAsia="宋体"/>
        </w:rPr>
        <w:t xml:space="preserve">试验的辅助温度采集装置为红外线热像仪，拍摄间隔设置为 </w:t>
      </w:r>
      <w:r>
        <w:rPr>
          <w:rFonts w:ascii="宋体" w:eastAsia="宋体"/>
        </w:rPr>
        <w:t>1</w:t>
      </w:r>
      <w:r>
        <w:rPr>
          <w:rFonts w:hint="eastAsia" w:ascii="宋体" w:eastAsia="宋体"/>
        </w:rPr>
        <w:t xml:space="preserve"> </w:t>
      </w:r>
      <w:r>
        <w:rPr>
          <w:rFonts w:ascii="宋体" w:eastAsia="宋体"/>
        </w:rPr>
        <w:t>min</w:t>
      </w:r>
      <w:r>
        <w:rPr>
          <w:rFonts w:hint="eastAsia" w:ascii="宋体" w:eastAsia="宋体"/>
        </w:rPr>
        <w:t>，</w:t>
      </w:r>
      <w:r>
        <w:rPr>
          <w:rFonts w:ascii="宋体" w:eastAsia="宋体"/>
        </w:rPr>
        <w:t>布置位置</w:t>
      </w:r>
      <w:r>
        <w:rPr>
          <w:rFonts w:hint="eastAsia" w:ascii="宋体" w:eastAsia="宋体"/>
        </w:rPr>
        <w:t>如</w:t>
      </w:r>
      <w:r>
        <w:rPr>
          <w:rFonts w:ascii="宋体" w:eastAsia="宋体"/>
        </w:rPr>
        <w:t>图</w:t>
      </w:r>
      <w:r>
        <w:rPr>
          <w:rFonts w:hint="eastAsia" w:ascii="宋体" w:eastAsia="宋体"/>
        </w:rPr>
        <w:t xml:space="preserve"> A.</w:t>
      </w:r>
      <w:r>
        <w:rPr>
          <w:rFonts w:ascii="宋体" w:eastAsia="宋体"/>
        </w:rPr>
        <w:t>4</w:t>
      </w:r>
      <w:r>
        <w:rPr>
          <w:rFonts w:hint="eastAsia" w:ascii="宋体" w:eastAsia="宋体"/>
        </w:rPr>
        <w:t xml:space="preserve"> </w:t>
      </w:r>
      <w:r>
        <w:rPr>
          <w:rFonts w:ascii="宋体" w:eastAsia="宋体"/>
        </w:rPr>
        <w:t>所示。</w:t>
      </w:r>
    </w:p>
    <w:p w14:paraId="37D4964F">
      <w:pPr>
        <w:pStyle w:val="56"/>
        <w:ind w:firstLine="420"/>
        <w:jc w:val="center"/>
      </w:pPr>
      <w:r>
        <w:drawing>
          <wp:inline distT="0" distB="0" distL="0" distR="0">
            <wp:extent cx="2734945" cy="1323975"/>
            <wp:effectExtent l="0" t="0" r="8255" b="9525"/>
            <wp:docPr id="2118090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90220" name="图片 1"/>
                    <pic:cNvPicPr>
                      <a:picLocks noChangeAspect="1"/>
                    </pic:cNvPicPr>
                  </pic:nvPicPr>
                  <pic:blipFill>
                    <a:blip r:embed="rId23"/>
                    <a:stretch>
                      <a:fillRect/>
                    </a:stretch>
                  </pic:blipFill>
                  <pic:spPr>
                    <a:xfrm>
                      <a:off x="0" y="0"/>
                      <a:ext cx="2745694" cy="1329475"/>
                    </a:xfrm>
                    <a:prstGeom prst="rect">
                      <a:avLst/>
                    </a:prstGeom>
                  </pic:spPr>
                </pic:pic>
              </a:graphicData>
            </a:graphic>
          </wp:inline>
        </w:drawing>
      </w:r>
    </w:p>
    <w:p w14:paraId="71971A01">
      <w:pPr>
        <w:pStyle w:val="179"/>
      </w:pPr>
      <w:r>
        <w:rPr>
          <w:rFonts w:hint="eastAsia"/>
        </w:rPr>
        <w:t xml:space="preserve">红外线热像仪放置于开口左侧 </w:t>
      </w:r>
      <w:r>
        <w:t>45°</w:t>
      </w:r>
      <w:r>
        <w:rPr>
          <w:rFonts w:hint="eastAsia"/>
        </w:rPr>
        <w:t xml:space="preserve"> </w:t>
      </w:r>
      <w:r>
        <w:t>角处。</w:t>
      </w:r>
    </w:p>
    <w:p w14:paraId="4CCD993D">
      <w:pPr>
        <w:pStyle w:val="83"/>
        <w:spacing w:before="120" w:after="120"/>
      </w:pPr>
      <w:r>
        <w:rPr>
          <w:rFonts w:hint="eastAsia"/>
        </w:rPr>
        <w:t>红外线热像仪布置示意图</w:t>
      </w:r>
    </w:p>
    <w:p w14:paraId="067CA330">
      <w:pPr>
        <w:pStyle w:val="212"/>
        <w:wordWrap/>
        <w:spacing w:line="288" w:lineRule="auto"/>
      </w:pPr>
      <w:r>
        <w:rPr>
          <w:rFonts w:hint="eastAsia"/>
        </w:rPr>
        <w:t xml:space="preserve">防护隔断内部底部铺设两层 </w:t>
      </w:r>
      <w:r>
        <w:t>12</w:t>
      </w:r>
      <w:r>
        <w:rPr>
          <w:rFonts w:hint="eastAsia"/>
        </w:rPr>
        <w:t xml:space="preserve"> </w:t>
      </w:r>
      <w:r>
        <w:t>mm</w:t>
      </w:r>
      <w:r>
        <w:rPr>
          <w:rFonts w:hint="eastAsia"/>
        </w:rPr>
        <w:t xml:space="preserve"> </w:t>
      </w:r>
      <w:r>
        <w:t>防火板，以保护地面。</w:t>
      </w:r>
    </w:p>
    <w:p w14:paraId="768D1CBC">
      <w:pPr>
        <w:pStyle w:val="78"/>
        <w:spacing w:before="120" w:after="120" w:line="288" w:lineRule="auto"/>
      </w:pPr>
      <w:bookmarkStart w:id="311" w:name="_Toc185347490"/>
      <w:bookmarkStart w:id="312" w:name="_Toc194306944"/>
      <w:bookmarkStart w:id="313" w:name="_Toc223100329"/>
      <w:bookmarkStart w:id="314" w:name="_Toc204954769"/>
      <w:bookmarkStart w:id="315" w:name="_Toc216857101"/>
      <w:bookmarkStart w:id="316" w:name="_Toc217921709"/>
      <w:bookmarkStart w:id="317" w:name="_Toc217980278"/>
      <w:bookmarkStart w:id="318" w:name="_Toc195881636"/>
      <w:bookmarkStart w:id="319" w:name="_Toc226641064"/>
      <w:bookmarkStart w:id="320" w:name="_Toc218526037"/>
      <w:bookmarkStart w:id="321" w:name="_Toc217978914"/>
      <w:r>
        <w:t>试验步骤</w:t>
      </w:r>
      <w:bookmarkEnd w:id="311"/>
      <w:bookmarkEnd w:id="312"/>
      <w:bookmarkEnd w:id="313"/>
      <w:bookmarkEnd w:id="314"/>
      <w:bookmarkEnd w:id="315"/>
      <w:bookmarkEnd w:id="316"/>
      <w:bookmarkEnd w:id="317"/>
      <w:bookmarkEnd w:id="318"/>
      <w:bookmarkEnd w:id="319"/>
      <w:bookmarkEnd w:id="320"/>
      <w:bookmarkEnd w:id="321"/>
    </w:p>
    <w:p w14:paraId="1E945042">
      <w:pPr>
        <w:pStyle w:val="212"/>
        <w:wordWrap/>
        <w:spacing w:line="288" w:lineRule="auto"/>
      </w:pPr>
      <w:r>
        <w:t>木垛按照</w:t>
      </w:r>
      <w:r>
        <w:rPr>
          <w:rFonts w:hint="eastAsia"/>
        </w:rPr>
        <w:t xml:space="preserve"> A.2.1 的规定</w:t>
      </w:r>
      <w:r>
        <w:t>摆放到支架上，离地高度为</w:t>
      </w:r>
      <w:r>
        <w:rPr>
          <w:rFonts w:hint="eastAsia"/>
        </w:rPr>
        <w:t xml:space="preserve"> </w:t>
      </w:r>
      <w:r>
        <w:t>400</w:t>
      </w:r>
      <w:r>
        <w:rPr>
          <w:rFonts w:hint="eastAsia"/>
        </w:rPr>
        <w:t xml:space="preserve"> </w:t>
      </w:r>
      <w:r>
        <w:t>mm</w:t>
      </w:r>
      <w:r>
        <w:rPr>
          <w:rFonts w:hint="eastAsia"/>
        </w:rPr>
        <w:t>，</w:t>
      </w:r>
      <w:r>
        <w:t>每个引燃盘注入</w:t>
      </w:r>
      <w:r>
        <w:rPr>
          <w:rFonts w:hint="eastAsia"/>
        </w:rPr>
        <w:t xml:space="preserve"> </w:t>
      </w:r>
      <w:r>
        <w:t>2</w:t>
      </w:r>
      <w:r>
        <w:rPr>
          <w:rFonts w:hint="eastAsia"/>
        </w:rPr>
        <w:t xml:space="preserve"> </w:t>
      </w:r>
      <w:r>
        <w:t>L</w:t>
      </w:r>
      <w:r>
        <w:rPr>
          <w:rFonts w:hint="eastAsia"/>
        </w:rPr>
        <w:t xml:space="preserve"> </w:t>
      </w:r>
      <w:r>
        <w:t>引燃油</w:t>
      </w:r>
      <w:r>
        <w:rPr>
          <w:rFonts w:hint="eastAsia"/>
        </w:rPr>
        <w:t>。</w:t>
      </w:r>
    </w:p>
    <w:p w14:paraId="3AD7C679">
      <w:pPr>
        <w:pStyle w:val="212"/>
        <w:wordWrap/>
        <w:spacing w:line="288" w:lineRule="auto"/>
      </w:pPr>
      <w:r>
        <w:t>记录和计算点火前背火面温度测点和受火面温度测点的平均温度，以该温度为初始温度</w:t>
      </w:r>
      <w:r>
        <w:rPr>
          <w:rFonts w:hint="eastAsia"/>
        </w:rPr>
        <w:t>。</w:t>
      </w:r>
    </w:p>
    <w:p w14:paraId="02E5E947">
      <w:pPr>
        <w:pStyle w:val="212"/>
        <w:wordWrap/>
        <w:spacing w:line="288" w:lineRule="auto"/>
      </w:pPr>
      <w:r>
        <w:t>采用点火器，在</w:t>
      </w:r>
      <w:r>
        <w:rPr>
          <w:rFonts w:hint="eastAsia"/>
        </w:rPr>
        <w:t xml:space="preserve"> </w:t>
      </w:r>
      <w:r>
        <w:t>10</w:t>
      </w:r>
      <w:r>
        <w:rPr>
          <w:rFonts w:hint="eastAsia"/>
        </w:rPr>
        <w:t xml:space="preserve"> </w:t>
      </w:r>
      <w:r>
        <w:t>s</w:t>
      </w:r>
      <w:r>
        <w:rPr>
          <w:rFonts w:hint="eastAsia"/>
        </w:rPr>
        <w:t xml:space="preserve"> </w:t>
      </w:r>
      <w:r>
        <w:t>内点燃所有引燃盘</w:t>
      </w:r>
      <w:r>
        <w:rPr>
          <w:rFonts w:hint="eastAsia"/>
        </w:rPr>
        <w:t>。</w:t>
      </w:r>
      <w:r>
        <w:t>当某引燃盘第一点火器出现故障时，应启用第</w:t>
      </w:r>
      <w:r>
        <w:rPr>
          <w:rFonts w:hint="eastAsia"/>
        </w:rPr>
        <w:t>二点火器。</w:t>
      </w:r>
    </w:p>
    <w:p w14:paraId="4932E9B0">
      <w:pPr>
        <w:pStyle w:val="212"/>
        <w:wordWrap/>
        <w:spacing w:line="288" w:lineRule="auto"/>
      </w:pPr>
      <w:r>
        <w:t>所有引燃盘点火成功后开始计时，同时采集温度测点，并进行红外线热成像拍照</w:t>
      </w:r>
      <w:r>
        <w:rPr>
          <w:rFonts w:hint="eastAsia"/>
        </w:rPr>
        <w:t>。</w:t>
      </w:r>
    </w:p>
    <w:p w14:paraId="413BD4D0">
      <w:pPr>
        <w:pStyle w:val="212"/>
        <w:wordWrap/>
        <w:spacing w:line="288" w:lineRule="auto"/>
      </w:pPr>
      <w:r>
        <w:t>实验燃烧末期，当受火面所有温度测点出现低于</w:t>
      </w:r>
      <w:r>
        <w:rPr>
          <w:rFonts w:hint="eastAsia"/>
        </w:rPr>
        <w:t xml:space="preserve"> </w:t>
      </w:r>
      <w:r>
        <w:t>180</w:t>
      </w:r>
      <w:r>
        <w:rPr>
          <w:rFonts w:hint="eastAsia"/>
        </w:rPr>
        <w:t xml:space="preserve"> </w:t>
      </w:r>
      <w:r>
        <w:rPr>
          <w:rFonts w:hAnsi="宋体"/>
        </w:rPr>
        <w:t>℃</w:t>
      </w:r>
      <w:r>
        <w:rPr>
          <w:rFonts w:hint="eastAsia" w:hAnsi="宋体"/>
        </w:rPr>
        <w:t xml:space="preserve"> </w:t>
      </w:r>
      <w:r>
        <w:t>温升的测点时，试验结束。</w:t>
      </w:r>
    </w:p>
    <w:p w14:paraId="2F60122B">
      <w:pPr>
        <w:pStyle w:val="78"/>
        <w:spacing w:before="120" w:after="120" w:line="288" w:lineRule="auto"/>
      </w:pPr>
      <w:bookmarkStart w:id="322" w:name="_Toc226641065"/>
      <w:bookmarkStart w:id="323" w:name="_Toc223100330"/>
      <w:bookmarkStart w:id="324" w:name="_Toc194306945"/>
      <w:bookmarkStart w:id="325" w:name="_Toc216857102"/>
      <w:bookmarkStart w:id="326" w:name="_Toc204954770"/>
      <w:bookmarkStart w:id="327" w:name="_Toc217978915"/>
      <w:bookmarkStart w:id="328" w:name="_Toc217980279"/>
      <w:bookmarkStart w:id="329" w:name="_Toc195881637"/>
      <w:bookmarkStart w:id="330" w:name="_Toc218526038"/>
      <w:bookmarkStart w:id="331" w:name="_Toc185347491"/>
      <w:bookmarkStart w:id="332" w:name="_Toc217921710"/>
      <w:r>
        <w:rPr>
          <w:rFonts w:hint="eastAsia"/>
        </w:rPr>
        <w:t>试验记录</w:t>
      </w:r>
      <w:bookmarkEnd w:id="322"/>
      <w:bookmarkEnd w:id="323"/>
      <w:bookmarkEnd w:id="324"/>
      <w:bookmarkEnd w:id="325"/>
      <w:bookmarkEnd w:id="326"/>
      <w:bookmarkEnd w:id="327"/>
      <w:bookmarkEnd w:id="328"/>
      <w:bookmarkEnd w:id="329"/>
      <w:bookmarkEnd w:id="330"/>
      <w:bookmarkEnd w:id="331"/>
      <w:bookmarkEnd w:id="332"/>
    </w:p>
    <w:p w14:paraId="13A5D6F6">
      <w:pPr>
        <w:pStyle w:val="56"/>
        <w:spacing w:line="288" w:lineRule="auto"/>
        <w:ind w:firstLine="420"/>
      </w:pPr>
      <w:r>
        <w:rPr>
          <w:rFonts w:hint="eastAsia"/>
        </w:rPr>
        <w:t>试验过程中，应对以下内容进行记录：</w:t>
      </w:r>
    </w:p>
    <w:p w14:paraId="5C345EF3">
      <w:pPr>
        <w:pStyle w:val="174"/>
        <w:numPr>
          <w:ilvl w:val="0"/>
          <w:numId w:val="33"/>
        </w:numPr>
        <w:spacing w:line="288" w:lineRule="auto"/>
      </w:pPr>
      <w:r>
        <w:t>试验时间，精确到</w:t>
      </w:r>
      <w:r>
        <w:rPr>
          <w:rFonts w:hint="eastAsia"/>
        </w:rPr>
        <w:t xml:space="preserve"> 0.01 </w:t>
      </w:r>
      <w:r>
        <w:t>h</w:t>
      </w:r>
      <w:r>
        <w:rPr>
          <w:rFonts w:hint="eastAsia"/>
        </w:rPr>
        <w:t>；</w:t>
      </w:r>
    </w:p>
    <w:p w14:paraId="602B8A55">
      <w:pPr>
        <w:pStyle w:val="174"/>
        <w:spacing w:line="288" w:lineRule="auto"/>
      </w:pPr>
      <w:r>
        <w:t>受火面温度测点最高温升和对应时刻</w:t>
      </w:r>
      <w:r>
        <w:rPr>
          <w:rFonts w:hint="eastAsia"/>
        </w:rPr>
        <w:t>；</w:t>
      </w:r>
    </w:p>
    <w:p w14:paraId="0166DAF7">
      <w:pPr>
        <w:pStyle w:val="174"/>
        <w:spacing w:line="288" w:lineRule="auto"/>
      </w:pPr>
      <w:r>
        <w:t>背火面温度测点最高温升、最高平均温升和对应时刻；</w:t>
      </w:r>
    </w:p>
    <w:p w14:paraId="61EAE169">
      <w:pPr>
        <w:pStyle w:val="174"/>
        <w:spacing w:line="288" w:lineRule="auto"/>
      </w:pPr>
      <w:r>
        <w:t>背火面温度测点最高平均温升时刻的红外线热成像照片</w:t>
      </w:r>
      <w:r>
        <w:rPr>
          <w:rFonts w:hint="eastAsia"/>
        </w:rPr>
        <w:t>。</w:t>
      </w:r>
    </w:p>
    <w:p w14:paraId="0AD67561">
      <w:pPr>
        <w:pStyle w:val="78"/>
        <w:spacing w:before="120" w:after="120" w:line="288" w:lineRule="auto"/>
      </w:pPr>
      <w:bookmarkStart w:id="333" w:name="_Toc216857103"/>
      <w:bookmarkStart w:id="334" w:name="_Toc217980280"/>
      <w:bookmarkStart w:id="335" w:name="_Toc217978916"/>
      <w:bookmarkStart w:id="336" w:name="_Toc194306946"/>
      <w:bookmarkStart w:id="337" w:name="_Toc185347492"/>
      <w:bookmarkStart w:id="338" w:name="_Toc223100331"/>
      <w:bookmarkStart w:id="339" w:name="_Toc226641066"/>
      <w:bookmarkStart w:id="340" w:name="_Toc218526039"/>
      <w:bookmarkStart w:id="341" w:name="_Toc204954771"/>
      <w:bookmarkStart w:id="342" w:name="_Toc217921711"/>
      <w:bookmarkStart w:id="343" w:name="_Toc195881638"/>
      <w:r>
        <w:rPr>
          <w:rFonts w:hint="eastAsia"/>
        </w:rPr>
        <w:t>结果判定</w:t>
      </w:r>
      <w:bookmarkEnd w:id="333"/>
      <w:bookmarkEnd w:id="334"/>
      <w:bookmarkEnd w:id="335"/>
      <w:bookmarkEnd w:id="336"/>
      <w:bookmarkEnd w:id="337"/>
      <w:bookmarkEnd w:id="338"/>
      <w:bookmarkEnd w:id="339"/>
      <w:bookmarkEnd w:id="340"/>
      <w:bookmarkEnd w:id="341"/>
      <w:bookmarkEnd w:id="342"/>
      <w:bookmarkEnd w:id="343"/>
    </w:p>
    <w:p w14:paraId="6061CF52">
      <w:pPr>
        <w:pStyle w:val="212"/>
        <w:wordWrap/>
        <w:spacing w:line="288" w:lineRule="auto"/>
        <w:rPr>
          <w:b/>
          <w:bCs/>
        </w:rPr>
      </w:pPr>
      <w:r>
        <w:rPr>
          <w:rFonts w:hint="eastAsia"/>
        </w:rPr>
        <w:t>当出现以下任一情况时，判定为试样失去完整性；应终止试验，并判定防火性能试验不合格：</w:t>
      </w:r>
    </w:p>
    <w:p w14:paraId="235B68C3">
      <w:pPr>
        <w:pStyle w:val="56"/>
        <w:spacing w:line="288" w:lineRule="auto"/>
        <w:ind w:firstLine="420"/>
      </w:pPr>
      <w:r>
        <w:rPr>
          <w:rFonts w:hint="eastAsia"/>
        </w:rPr>
        <w:t>a)</w:t>
      </w:r>
      <w:r>
        <w:rPr>
          <w:rFonts w:hint="eastAsia"/>
        </w:rPr>
        <w:tab/>
      </w:r>
      <w:r>
        <w:rPr>
          <w:rFonts w:hint="eastAsia"/>
        </w:rPr>
        <w:t>车位火灾防护隔断背火面出现窜火现象；</w:t>
      </w:r>
    </w:p>
    <w:p w14:paraId="04CED0DE">
      <w:pPr>
        <w:pStyle w:val="56"/>
        <w:spacing w:line="288" w:lineRule="auto"/>
        <w:ind w:firstLine="420"/>
      </w:pPr>
      <w:r>
        <w:rPr>
          <w:rFonts w:hint="eastAsia"/>
        </w:rPr>
        <w:t>b)</w:t>
      </w:r>
      <w:r>
        <w:rPr>
          <w:rFonts w:hint="eastAsia"/>
        </w:rPr>
        <w:tab/>
      </w:r>
      <w:r>
        <w:rPr>
          <w:rFonts w:hint="eastAsia"/>
        </w:rPr>
        <w:t>车位火灾防护隔断垮塌。</w:t>
      </w:r>
    </w:p>
    <w:p w14:paraId="0D2F87D4">
      <w:pPr>
        <w:pStyle w:val="212"/>
        <w:wordWrap/>
        <w:spacing w:line="288" w:lineRule="auto"/>
      </w:pPr>
      <w:r>
        <w:rPr>
          <w:rFonts w:hint="eastAsia"/>
        </w:rPr>
        <w:t>当出现以下任一情况时，判定为试样失去隔热性；应终止试验，并判定防火性能试验不合格：</w:t>
      </w:r>
    </w:p>
    <w:p w14:paraId="737A85D0">
      <w:pPr>
        <w:pStyle w:val="56"/>
        <w:spacing w:line="288" w:lineRule="auto"/>
        <w:ind w:firstLine="420"/>
      </w:pPr>
      <w:r>
        <w:rPr>
          <w:rFonts w:hint="eastAsia"/>
        </w:rPr>
        <w:t>a)  背火面任一温度测点温升高于 180 ℃；</w:t>
      </w:r>
    </w:p>
    <w:p w14:paraId="3E6C6670">
      <w:pPr>
        <w:pStyle w:val="56"/>
        <w:spacing w:line="288" w:lineRule="auto"/>
        <w:ind w:firstLine="420"/>
      </w:pPr>
      <w:r>
        <w:rPr>
          <w:rFonts w:hint="eastAsia"/>
        </w:rPr>
        <w:t>b)  背火面平均温升高于 140 ℃；</w:t>
      </w:r>
    </w:p>
    <w:p w14:paraId="5FA2A37D">
      <w:pPr>
        <w:pStyle w:val="56"/>
        <w:spacing w:line="288" w:lineRule="auto"/>
        <w:ind w:firstLine="420"/>
      </w:pPr>
      <w:r>
        <w:rPr>
          <w:rFonts w:hint="eastAsia"/>
        </w:rPr>
        <w:t>C)  周边温度测点任一测点温度高于 80 ℃。</w:t>
      </w:r>
    </w:p>
    <w:p w14:paraId="7D66D337">
      <w:pPr>
        <w:pStyle w:val="56"/>
        <w:ind w:firstLine="0" w:firstLineChars="0"/>
      </w:pPr>
    </w:p>
    <w:bookmarkEnd w:id="277"/>
    <w:p w14:paraId="6CC1D8E4">
      <w:pPr>
        <w:pStyle w:val="56"/>
        <w:ind w:firstLine="0" w:firstLineChars="0"/>
        <w:sectPr>
          <w:pgSz w:w="11906" w:h="16838"/>
          <w:pgMar w:top="2410" w:right="1134" w:bottom="1134" w:left="1134" w:header="1418" w:footer="1134" w:gutter="284"/>
          <w:cols w:space="425" w:num="1"/>
          <w:formProt w:val="0"/>
          <w:docGrid w:linePitch="312" w:charSpace="0"/>
        </w:sectPr>
      </w:pPr>
      <w:bookmarkStart w:id="344" w:name="BookMark6"/>
    </w:p>
    <w:p w14:paraId="63AAA307">
      <w:pPr>
        <w:pStyle w:val="63"/>
        <w:spacing w:before="96" w:after="120"/>
      </w:pPr>
      <w:bookmarkStart w:id="345" w:name="_Toc217980281"/>
      <w:bookmarkStart w:id="346" w:name="_Toc223100332"/>
      <w:bookmarkStart w:id="347" w:name="_Toc217921712"/>
      <w:bookmarkStart w:id="348" w:name="_Toc226641067"/>
      <w:bookmarkStart w:id="349" w:name="_Toc218526040"/>
      <w:bookmarkStart w:id="350" w:name="_Toc217978917"/>
      <w:r>
        <w:rPr>
          <w:rFonts w:hint="eastAsia"/>
          <w:spacing w:val="105"/>
        </w:rPr>
        <w:t>参考文</w:t>
      </w:r>
      <w:r>
        <w:rPr>
          <w:rFonts w:hint="eastAsia"/>
        </w:rPr>
        <w:t>献</w:t>
      </w:r>
      <w:bookmarkEnd w:id="345"/>
      <w:bookmarkEnd w:id="346"/>
      <w:bookmarkEnd w:id="347"/>
      <w:bookmarkEnd w:id="348"/>
      <w:bookmarkEnd w:id="349"/>
      <w:bookmarkEnd w:id="350"/>
    </w:p>
    <w:p w14:paraId="243D3BA8">
      <w:pPr>
        <w:pStyle w:val="56"/>
        <w:ind w:firstLine="420"/>
      </w:pPr>
    </w:p>
    <w:p w14:paraId="5C265606">
      <w:pPr>
        <w:pStyle w:val="56"/>
        <w:ind w:firstLine="420"/>
      </w:pPr>
    </w:p>
    <w:p w14:paraId="45BF14A6">
      <w:pPr>
        <w:pStyle w:val="56"/>
        <w:spacing w:line="288" w:lineRule="auto"/>
        <w:ind w:firstLine="420"/>
      </w:pPr>
      <w:r>
        <w:rPr>
          <w:rFonts w:hint="eastAsia"/>
        </w:rPr>
        <w:t xml:space="preserve">[1]  </w:t>
      </w:r>
      <w:r>
        <w:t>GB/T 9978.1</w:t>
      </w:r>
      <w:r>
        <w:rPr>
          <w:rFonts w:hint="eastAsia" w:hAnsi="宋体"/>
        </w:rPr>
        <w:t>—</w:t>
      </w:r>
      <w:r>
        <w:rPr>
          <w:rFonts w:hint="eastAsia"/>
        </w:rPr>
        <w:t>2008  建筑构件耐火试验方法</w:t>
      </w:r>
      <w:r>
        <w:t xml:space="preserve"> 第1部分：通用要求</w:t>
      </w:r>
    </w:p>
    <w:p w14:paraId="4E87F06E">
      <w:pPr>
        <w:pStyle w:val="56"/>
        <w:spacing w:line="288" w:lineRule="auto"/>
        <w:ind w:firstLine="420"/>
      </w:pPr>
      <w:r>
        <w:rPr>
          <w:rFonts w:hint="eastAsia"/>
        </w:rPr>
        <w:t xml:space="preserve">[2]  </w:t>
      </w:r>
      <w:r>
        <w:t>GB/T 12513</w:t>
      </w:r>
      <w:r>
        <w:rPr>
          <w:rFonts w:hint="eastAsia" w:hAnsi="宋体"/>
        </w:rPr>
        <w:t>—</w:t>
      </w:r>
      <w:r>
        <w:rPr>
          <w:rFonts w:hint="eastAsia"/>
        </w:rPr>
        <w:t xml:space="preserve">2026  </w:t>
      </w:r>
      <w:r>
        <w:fldChar w:fldCharType="begin"/>
      </w:r>
      <w:r>
        <w:instrText xml:space="preserve"> HYPERLINK "https://std.samr.gov.cn/gb/search/gbDetailed?id=71F772D7FFC9D3A7E05397BE0A0AB82A" \t "_blank" </w:instrText>
      </w:r>
      <w:r>
        <w:fldChar w:fldCharType="separate"/>
      </w:r>
      <w:r>
        <w:rPr>
          <w:rStyle w:val="32"/>
        </w:rPr>
        <w:t>镶玻璃构件耐火试验方法</w:t>
      </w:r>
      <w:r>
        <w:rPr>
          <w:rStyle w:val="32"/>
        </w:rPr>
        <w:fldChar w:fldCharType="end"/>
      </w:r>
    </w:p>
    <w:p w14:paraId="501F9AC7">
      <w:pPr>
        <w:pStyle w:val="56"/>
        <w:spacing w:line="288" w:lineRule="auto"/>
        <w:ind w:firstLine="420"/>
      </w:pPr>
      <w:r>
        <w:rPr>
          <w:rFonts w:hint="eastAsia"/>
        </w:rPr>
        <w:t xml:space="preserve">[3]  </w:t>
      </w:r>
      <w:r>
        <w:t>GB 12955</w:t>
      </w:r>
      <w:r>
        <w:rPr>
          <w:rFonts w:hint="eastAsia" w:hAnsi="宋体"/>
        </w:rPr>
        <w:t>—</w:t>
      </w:r>
      <w:r>
        <w:rPr>
          <w:rFonts w:hint="eastAsia"/>
        </w:rPr>
        <w:t>2024  防火门</w:t>
      </w:r>
      <w:bookmarkEnd w:id="344"/>
    </w:p>
    <w:p w14:paraId="6781B6EE">
      <w:pPr>
        <w:pStyle w:val="56"/>
        <w:ind w:firstLine="0" w:firstLineChars="0"/>
        <w:jc w:val="center"/>
      </w:pPr>
      <w:bookmarkStart w:id="351" w:name="BookMark8"/>
      <w:r>
        <w:drawing>
          <wp:inline distT="0" distB="0" distL="0" distR="0">
            <wp:extent cx="1485900" cy="317500"/>
            <wp:effectExtent l="0" t="0" r="0" b="635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4"/>
                    <a:stretch>
                      <a:fillRect/>
                    </a:stretch>
                  </pic:blipFill>
                  <pic:spPr>
                    <a:xfrm>
                      <a:off x="0" y="0"/>
                      <a:ext cx="1485900" cy="317500"/>
                    </a:xfrm>
                    <a:prstGeom prst="rect">
                      <a:avLst/>
                    </a:prstGeom>
                  </pic:spPr>
                </pic:pic>
              </a:graphicData>
            </a:graphic>
          </wp:inline>
        </w:drawing>
      </w:r>
      <w:bookmarkEnd w:id="351"/>
    </w:p>
    <w:sectPr>
      <w:pgSz w:w="11906" w:h="16838"/>
      <w:pgMar w:top="2410" w:right="1134" w:bottom="1134" w:left="1134" w:header="1418" w:footer="1134" w:gutter="284"/>
      <w:cols w:space="425" w:num="1"/>
      <w:formProt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16BA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84C34">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27C35">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A9541">
    <w:pPr>
      <w:pStyle w:val="52"/>
    </w:pPr>
    <w:r>
      <w:fldChar w:fldCharType="begin"/>
    </w:r>
    <w:r>
      <w:instrText xml:space="preserve">PAGE   \* MERGEFORMAT</w:instrText>
    </w:r>
    <w:r>
      <w:fldChar w:fldCharType="separate"/>
    </w:r>
    <w:r>
      <w:rPr>
        <w:lang w:val="zh-CN"/>
      </w:rPr>
      <w:t>9</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D6653">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63D72">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C1C44">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929A6">
    <w:pPr>
      <w:pStyle w:val="61"/>
      <w:rPr>
        <w:rFonts w:hint="eastAsia"/>
      </w:rPr>
    </w:pPr>
    <w:r>
      <w:fldChar w:fldCharType="begin"/>
    </w:r>
    <w:r>
      <w:instrText xml:space="preserve"> STYLEREF  标准文件_文件编号  \* MERGEFORMAT </w:instrText>
    </w:r>
    <w:r>
      <w:fldChar w:fldCharType="separate"/>
    </w:r>
    <w:r>
      <w:t>T/CFPA XXXX—2026</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1B2F9">
    <w:pPr>
      <w:pStyle w:val="18"/>
      <w:jc w:val="right"/>
    </w:pPr>
    <w:r>
      <w:fldChar w:fldCharType="begin"/>
    </w:r>
    <w:r>
      <w:instrText xml:space="preserve"> STYLEREF  标准文件_文件编号  \* MERGEFORMAT </w:instrText>
    </w:r>
    <w:r>
      <w:fldChar w:fldCharType="separate"/>
    </w:r>
    <w:r>
      <w:t>T/CFPA XXXX—2026</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FF"/>
    <w:rsid w:val="0000040A"/>
    <w:rsid w:val="00000A94"/>
    <w:rsid w:val="00001808"/>
    <w:rsid w:val="00001972"/>
    <w:rsid w:val="00001D9A"/>
    <w:rsid w:val="00007B3A"/>
    <w:rsid w:val="000107E0"/>
    <w:rsid w:val="00011FDE"/>
    <w:rsid w:val="00012FFD"/>
    <w:rsid w:val="00014162"/>
    <w:rsid w:val="00014340"/>
    <w:rsid w:val="00015FA4"/>
    <w:rsid w:val="00016A9C"/>
    <w:rsid w:val="00022184"/>
    <w:rsid w:val="00022762"/>
    <w:rsid w:val="000238E0"/>
    <w:rsid w:val="000249DB"/>
    <w:rsid w:val="0002595E"/>
    <w:rsid w:val="00026EB7"/>
    <w:rsid w:val="000303C3"/>
    <w:rsid w:val="000331D3"/>
    <w:rsid w:val="000346A5"/>
    <w:rsid w:val="000359C3"/>
    <w:rsid w:val="00035A7D"/>
    <w:rsid w:val="000365ED"/>
    <w:rsid w:val="0004249A"/>
    <w:rsid w:val="00043282"/>
    <w:rsid w:val="00043DAE"/>
    <w:rsid w:val="00044286"/>
    <w:rsid w:val="00044DB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BE7"/>
    <w:rsid w:val="00073C8C"/>
    <w:rsid w:val="000766A9"/>
    <w:rsid w:val="000778AA"/>
    <w:rsid w:val="00077B64"/>
    <w:rsid w:val="000801A9"/>
    <w:rsid w:val="00080A1C"/>
    <w:rsid w:val="00081B59"/>
    <w:rsid w:val="000821DF"/>
    <w:rsid w:val="00082317"/>
    <w:rsid w:val="0008360B"/>
    <w:rsid w:val="00083D2C"/>
    <w:rsid w:val="00086AA1"/>
    <w:rsid w:val="00087A77"/>
    <w:rsid w:val="00087B18"/>
    <w:rsid w:val="00090CA6"/>
    <w:rsid w:val="00092B8A"/>
    <w:rsid w:val="00092FB0"/>
    <w:rsid w:val="000934C5"/>
    <w:rsid w:val="00093AFD"/>
    <w:rsid w:val="00093D25"/>
    <w:rsid w:val="00093DAB"/>
    <w:rsid w:val="00094D73"/>
    <w:rsid w:val="00096D63"/>
    <w:rsid w:val="000A0B60"/>
    <w:rsid w:val="000A0EB8"/>
    <w:rsid w:val="000A19FC"/>
    <w:rsid w:val="000A2563"/>
    <w:rsid w:val="000A296B"/>
    <w:rsid w:val="000A7311"/>
    <w:rsid w:val="000B060F"/>
    <w:rsid w:val="000B06E4"/>
    <w:rsid w:val="000B1218"/>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3A9A"/>
    <w:rsid w:val="000E4C9E"/>
    <w:rsid w:val="000E6FD7"/>
    <w:rsid w:val="000E7C33"/>
    <w:rsid w:val="000F06E1"/>
    <w:rsid w:val="000F0E3C"/>
    <w:rsid w:val="000F19D5"/>
    <w:rsid w:val="000F2139"/>
    <w:rsid w:val="000F4050"/>
    <w:rsid w:val="000F4AEA"/>
    <w:rsid w:val="000F67E9"/>
    <w:rsid w:val="00102EBD"/>
    <w:rsid w:val="001044C0"/>
    <w:rsid w:val="00104926"/>
    <w:rsid w:val="00113B1E"/>
    <w:rsid w:val="00114CAE"/>
    <w:rsid w:val="0011711C"/>
    <w:rsid w:val="00121361"/>
    <w:rsid w:val="00124E4F"/>
    <w:rsid w:val="001253FA"/>
    <w:rsid w:val="001260B7"/>
    <w:rsid w:val="001265CB"/>
    <w:rsid w:val="001307C5"/>
    <w:rsid w:val="001321C6"/>
    <w:rsid w:val="001325C4"/>
    <w:rsid w:val="00133010"/>
    <w:rsid w:val="001338EE"/>
    <w:rsid w:val="00133AAE"/>
    <w:rsid w:val="00135323"/>
    <w:rsid w:val="001356C4"/>
    <w:rsid w:val="00137565"/>
    <w:rsid w:val="00137CCA"/>
    <w:rsid w:val="00141114"/>
    <w:rsid w:val="00142969"/>
    <w:rsid w:val="001446C2"/>
    <w:rsid w:val="0014520E"/>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9B9"/>
    <w:rsid w:val="00166B88"/>
    <w:rsid w:val="0016770A"/>
    <w:rsid w:val="00170804"/>
    <w:rsid w:val="001708E9"/>
    <w:rsid w:val="00170E6C"/>
    <w:rsid w:val="0017340B"/>
    <w:rsid w:val="00173D6D"/>
    <w:rsid w:val="00173FB1"/>
    <w:rsid w:val="00176DFD"/>
    <w:rsid w:val="00180F6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4C55"/>
    <w:rsid w:val="001B71D0"/>
    <w:rsid w:val="001B71EE"/>
    <w:rsid w:val="001C04A8"/>
    <w:rsid w:val="001C27B5"/>
    <w:rsid w:val="001C2C03"/>
    <w:rsid w:val="001C42F7"/>
    <w:rsid w:val="001C49E5"/>
    <w:rsid w:val="001C680C"/>
    <w:rsid w:val="001C7FEA"/>
    <w:rsid w:val="001D0499"/>
    <w:rsid w:val="001D0BBE"/>
    <w:rsid w:val="001D0ED4"/>
    <w:rsid w:val="001D212F"/>
    <w:rsid w:val="001D29D7"/>
    <w:rsid w:val="001D2DE7"/>
    <w:rsid w:val="001D3113"/>
    <w:rsid w:val="001D411C"/>
    <w:rsid w:val="001E1264"/>
    <w:rsid w:val="001E1B6A"/>
    <w:rsid w:val="001E2484"/>
    <w:rsid w:val="001E3CC4"/>
    <w:rsid w:val="001E41E7"/>
    <w:rsid w:val="001E4882"/>
    <w:rsid w:val="001E73AB"/>
    <w:rsid w:val="001F01F9"/>
    <w:rsid w:val="001F092D"/>
    <w:rsid w:val="001F0FC7"/>
    <w:rsid w:val="001F143A"/>
    <w:rsid w:val="001F1605"/>
    <w:rsid w:val="001F2508"/>
    <w:rsid w:val="001F4816"/>
    <w:rsid w:val="001F69B4"/>
    <w:rsid w:val="001F77C7"/>
    <w:rsid w:val="00200183"/>
    <w:rsid w:val="00200333"/>
    <w:rsid w:val="0020107D"/>
    <w:rsid w:val="002015CD"/>
    <w:rsid w:val="00202AA4"/>
    <w:rsid w:val="002031F7"/>
    <w:rsid w:val="002040E6"/>
    <w:rsid w:val="0020527B"/>
    <w:rsid w:val="00205F2C"/>
    <w:rsid w:val="002060E0"/>
    <w:rsid w:val="00210B15"/>
    <w:rsid w:val="002142EA"/>
    <w:rsid w:val="00215ADD"/>
    <w:rsid w:val="002178A2"/>
    <w:rsid w:val="002204BB"/>
    <w:rsid w:val="00221B79"/>
    <w:rsid w:val="00221C6B"/>
    <w:rsid w:val="002238AB"/>
    <w:rsid w:val="00224BE9"/>
    <w:rsid w:val="002253A1"/>
    <w:rsid w:val="00225CF8"/>
    <w:rsid w:val="0022794E"/>
    <w:rsid w:val="002330A2"/>
    <w:rsid w:val="002336E9"/>
    <w:rsid w:val="00233D64"/>
    <w:rsid w:val="0023482A"/>
    <w:rsid w:val="002359CB"/>
    <w:rsid w:val="00243540"/>
    <w:rsid w:val="0024497B"/>
    <w:rsid w:val="0024515B"/>
    <w:rsid w:val="00246021"/>
    <w:rsid w:val="0024666E"/>
    <w:rsid w:val="00247F52"/>
    <w:rsid w:val="00250B25"/>
    <w:rsid w:val="00250BBE"/>
    <w:rsid w:val="002515C2"/>
    <w:rsid w:val="00251911"/>
    <w:rsid w:val="0025194F"/>
    <w:rsid w:val="002530DF"/>
    <w:rsid w:val="00255A89"/>
    <w:rsid w:val="0026148A"/>
    <w:rsid w:val="00262696"/>
    <w:rsid w:val="00263D25"/>
    <w:rsid w:val="002643C3"/>
    <w:rsid w:val="00264A0C"/>
    <w:rsid w:val="00266EEB"/>
    <w:rsid w:val="00267EF4"/>
    <w:rsid w:val="00270CB8"/>
    <w:rsid w:val="00272B08"/>
    <w:rsid w:val="00281BB8"/>
    <w:rsid w:val="00281E9E"/>
    <w:rsid w:val="00282405"/>
    <w:rsid w:val="00283304"/>
    <w:rsid w:val="00285170"/>
    <w:rsid w:val="00285361"/>
    <w:rsid w:val="00292D60"/>
    <w:rsid w:val="00293B30"/>
    <w:rsid w:val="00294D34"/>
    <w:rsid w:val="00294E3B"/>
    <w:rsid w:val="00296193"/>
    <w:rsid w:val="00296C66"/>
    <w:rsid w:val="00296EBE"/>
    <w:rsid w:val="00297157"/>
    <w:rsid w:val="002974E3"/>
    <w:rsid w:val="002A084B"/>
    <w:rsid w:val="002A1260"/>
    <w:rsid w:val="002A1589"/>
    <w:rsid w:val="002A1608"/>
    <w:rsid w:val="002A25DC"/>
    <w:rsid w:val="002A3AAB"/>
    <w:rsid w:val="002A4CEA"/>
    <w:rsid w:val="002A5977"/>
    <w:rsid w:val="002A5A13"/>
    <w:rsid w:val="002A5EBC"/>
    <w:rsid w:val="002A757F"/>
    <w:rsid w:val="002A7AF8"/>
    <w:rsid w:val="002A7F44"/>
    <w:rsid w:val="002B0C40"/>
    <w:rsid w:val="002B1966"/>
    <w:rsid w:val="002B1D5C"/>
    <w:rsid w:val="002B26B0"/>
    <w:rsid w:val="002B4508"/>
    <w:rsid w:val="002B5779"/>
    <w:rsid w:val="002B7332"/>
    <w:rsid w:val="002B7F51"/>
    <w:rsid w:val="002C09E7"/>
    <w:rsid w:val="002C0D8B"/>
    <w:rsid w:val="002C1E06"/>
    <w:rsid w:val="002C3F07"/>
    <w:rsid w:val="002C5278"/>
    <w:rsid w:val="002C7EBB"/>
    <w:rsid w:val="002D06C1"/>
    <w:rsid w:val="002D2905"/>
    <w:rsid w:val="002D42B5"/>
    <w:rsid w:val="002D4F1A"/>
    <w:rsid w:val="002D6EC6"/>
    <w:rsid w:val="002D79AC"/>
    <w:rsid w:val="002E039D"/>
    <w:rsid w:val="002E4D5A"/>
    <w:rsid w:val="002E6326"/>
    <w:rsid w:val="002F0EBD"/>
    <w:rsid w:val="002F30E0"/>
    <w:rsid w:val="002F35E4"/>
    <w:rsid w:val="002F3730"/>
    <w:rsid w:val="002F38E1"/>
    <w:rsid w:val="002F39AC"/>
    <w:rsid w:val="002F7AF6"/>
    <w:rsid w:val="00300E63"/>
    <w:rsid w:val="0030263E"/>
    <w:rsid w:val="00302F5F"/>
    <w:rsid w:val="003042DB"/>
    <w:rsid w:val="0030441D"/>
    <w:rsid w:val="0030472F"/>
    <w:rsid w:val="00306063"/>
    <w:rsid w:val="003075E7"/>
    <w:rsid w:val="00313B85"/>
    <w:rsid w:val="00317988"/>
    <w:rsid w:val="003221B4"/>
    <w:rsid w:val="0032258D"/>
    <w:rsid w:val="00322E62"/>
    <w:rsid w:val="00324D13"/>
    <w:rsid w:val="00324EDD"/>
    <w:rsid w:val="0033008A"/>
    <w:rsid w:val="003331E4"/>
    <w:rsid w:val="00334C08"/>
    <w:rsid w:val="00336C64"/>
    <w:rsid w:val="00337162"/>
    <w:rsid w:val="0034194F"/>
    <w:rsid w:val="00344605"/>
    <w:rsid w:val="003469DB"/>
    <w:rsid w:val="003474AA"/>
    <w:rsid w:val="00350D1D"/>
    <w:rsid w:val="00352C83"/>
    <w:rsid w:val="00352F1A"/>
    <w:rsid w:val="00360E14"/>
    <w:rsid w:val="0036107C"/>
    <w:rsid w:val="003615D2"/>
    <w:rsid w:val="00363D11"/>
    <w:rsid w:val="0036429C"/>
    <w:rsid w:val="00364A53"/>
    <w:rsid w:val="003653C1"/>
    <w:rsid w:val="003654CB"/>
    <w:rsid w:val="00365AA9"/>
    <w:rsid w:val="00365F86"/>
    <w:rsid w:val="00365F87"/>
    <w:rsid w:val="00366E89"/>
    <w:rsid w:val="003705F4"/>
    <w:rsid w:val="00370A38"/>
    <w:rsid w:val="00370D58"/>
    <w:rsid w:val="00370E43"/>
    <w:rsid w:val="00371316"/>
    <w:rsid w:val="00376713"/>
    <w:rsid w:val="00381815"/>
    <w:rsid w:val="003819AF"/>
    <w:rsid w:val="003820E9"/>
    <w:rsid w:val="00382DE7"/>
    <w:rsid w:val="00384FFC"/>
    <w:rsid w:val="0038607A"/>
    <w:rsid w:val="003872FC"/>
    <w:rsid w:val="00387ADC"/>
    <w:rsid w:val="00390020"/>
    <w:rsid w:val="003903D6"/>
    <w:rsid w:val="00390EE6"/>
    <w:rsid w:val="0039118F"/>
    <w:rsid w:val="00392AD7"/>
    <w:rsid w:val="003938D9"/>
    <w:rsid w:val="00394376"/>
    <w:rsid w:val="003943FF"/>
    <w:rsid w:val="003974EB"/>
    <w:rsid w:val="00397CC5"/>
    <w:rsid w:val="003A1582"/>
    <w:rsid w:val="003A18AB"/>
    <w:rsid w:val="003A197D"/>
    <w:rsid w:val="003A23FD"/>
    <w:rsid w:val="003A3D9C"/>
    <w:rsid w:val="003A4077"/>
    <w:rsid w:val="003A479C"/>
    <w:rsid w:val="003A4AA7"/>
    <w:rsid w:val="003A6391"/>
    <w:rsid w:val="003A6A65"/>
    <w:rsid w:val="003B09AD"/>
    <w:rsid w:val="003B1F18"/>
    <w:rsid w:val="003B26DA"/>
    <w:rsid w:val="003B5BF0"/>
    <w:rsid w:val="003B60BF"/>
    <w:rsid w:val="003B64EF"/>
    <w:rsid w:val="003B6BE3"/>
    <w:rsid w:val="003C010C"/>
    <w:rsid w:val="003C08A9"/>
    <w:rsid w:val="003C0A6C"/>
    <w:rsid w:val="003C14F8"/>
    <w:rsid w:val="003C3265"/>
    <w:rsid w:val="003C5A43"/>
    <w:rsid w:val="003D0519"/>
    <w:rsid w:val="003D0FF6"/>
    <w:rsid w:val="003D262C"/>
    <w:rsid w:val="003D6D61"/>
    <w:rsid w:val="003E091D"/>
    <w:rsid w:val="003E1C53"/>
    <w:rsid w:val="003E2A69"/>
    <w:rsid w:val="003E2D49"/>
    <w:rsid w:val="003E2FD4"/>
    <w:rsid w:val="003E49F6"/>
    <w:rsid w:val="003E5D3B"/>
    <w:rsid w:val="003E660F"/>
    <w:rsid w:val="003F0841"/>
    <w:rsid w:val="003F0E87"/>
    <w:rsid w:val="003F23D3"/>
    <w:rsid w:val="003F3F08"/>
    <w:rsid w:val="003F49F1"/>
    <w:rsid w:val="003F4F27"/>
    <w:rsid w:val="003F6272"/>
    <w:rsid w:val="00400E72"/>
    <w:rsid w:val="00401400"/>
    <w:rsid w:val="00404869"/>
    <w:rsid w:val="00404E87"/>
    <w:rsid w:val="00405884"/>
    <w:rsid w:val="00407D39"/>
    <w:rsid w:val="0041477A"/>
    <w:rsid w:val="004167A3"/>
    <w:rsid w:val="00417C54"/>
    <w:rsid w:val="004248B5"/>
    <w:rsid w:val="00430221"/>
    <w:rsid w:val="00430CC5"/>
    <w:rsid w:val="00432DAA"/>
    <w:rsid w:val="00434305"/>
    <w:rsid w:val="00435DF7"/>
    <w:rsid w:val="0044083F"/>
    <w:rsid w:val="00441AE7"/>
    <w:rsid w:val="00445574"/>
    <w:rsid w:val="004467FB"/>
    <w:rsid w:val="00452D6B"/>
    <w:rsid w:val="00454484"/>
    <w:rsid w:val="0045517B"/>
    <w:rsid w:val="0046244E"/>
    <w:rsid w:val="0046397F"/>
    <w:rsid w:val="00463B77"/>
    <w:rsid w:val="00463C7B"/>
    <w:rsid w:val="00463E9E"/>
    <w:rsid w:val="004642FF"/>
    <w:rsid w:val="004644A6"/>
    <w:rsid w:val="004659BD"/>
    <w:rsid w:val="00467519"/>
    <w:rsid w:val="00470775"/>
    <w:rsid w:val="00471C70"/>
    <w:rsid w:val="004746B1"/>
    <w:rsid w:val="0047583F"/>
    <w:rsid w:val="00475DE8"/>
    <w:rsid w:val="00480932"/>
    <w:rsid w:val="00481C44"/>
    <w:rsid w:val="00484936"/>
    <w:rsid w:val="00485C89"/>
    <w:rsid w:val="00486BE3"/>
    <w:rsid w:val="004905E4"/>
    <w:rsid w:val="00490A89"/>
    <w:rsid w:val="00490AB4"/>
    <w:rsid w:val="00492F02"/>
    <w:rsid w:val="004939AE"/>
    <w:rsid w:val="0049562A"/>
    <w:rsid w:val="004A12DF"/>
    <w:rsid w:val="004A1BA8"/>
    <w:rsid w:val="004A4B57"/>
    <w:rsid w:val="004A596B"/>
    <w:rsid w:val="004A63FA"/>
    <w:rsid w:val="004A68D5"/>
    <w:rsid w:val="004A6A3D"/>
    <w:rsid w:val="004A7AE3"/>
    <w:rsid w:val="004B0272"/>
    <w:rsid w:val="004B034A"/>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6942"/>
    <w:rsid w:val="004D7C42"/>
    <w:rsid w:val="004E0275"/>
    <w:rsid w:val="004E0465"/>
    <w:rsid w:val="004E127B"/>
    <w:rsid w:val="004E1C0A"/>
    <w:rsid w:val="004E24E8"/>
    <w:rsid w:val="004E30C5"/>
    <w:rsid w:val="004E4AA5"/>
    <w:rsid w:val="004E4AEE"/>
    <w:rsid w:val="004E59E3"/>
    <w:rsid w:val="004E67C0"/>
    <w:rsid w:val="004F104D"/>
    <w:rsid w:val="004F391A"/>
    <w:rsid w:val="004F3CFB"/>
    <w:rsid w:val="004F6456"/>
    <w:rsid w:val="004F696E"/>
    <w:rsid w:val="004F6C71"/>
    <w:rsid w:val="004F7A1D"/>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01BD"/>
    <w:rsid w:val="00533D04"/>
    <w:rsid w:val="00534804"/>
    <w:rsid w:val="00534BDF"/>
    <w:rsid w:val="005354EA"/>
    <w:rsid w:val="0053585F"/>
    <w:rsid w:val="00535EC4"/>
    <w:rsid w:val="00535ED9"/>
    <w:rsid w:val="0053692B"/>
    <w:rsid w:val="00541853"/>
    <w:rsid w:val="0054370F"/>
    <w:rsid w:val="00543BDA"/>
    <w:rsid w:val="00543BF6"/>
    <w:rsid w:val="005441CC"/>
    <w:rsid w:val="005461E0"/>
    <w:rsid w:val="005479DA"/>
    <w:rsid w:val="00547BCC"/>
    <w:rsid w:val="0055013B"/>
    <w:rsid w:val="00551F6F"/>
    <w:rsid w:val="00554EEF"/>
    <w:rsid w:val="00555044"/>
    <w:rsid w:val="00561475"/>
    <w:rsid w:val="00562308"/>
    <w:rsid w:val="005626C8"/>
    <w:rsid w:val="0056487B"/>
    <w:rsid w:val="00564FB9"/>
    <w:rsid w:val="00566C2E"/>
    <w:rsid w:val="00573D9E"/>
    <w:rsid w:val="00576B1F"/>
    <w:rsid w:val="005801E3"/>
    <w:rsid w:val="00580A9B"/>
    <w:rsid w:val="00581802"/>
    <w:rsid w:val="005836A8"/>
    <w:rsid w:val="00583952"/>
    <w:rsid w:val="0058409C"/>
    <w:rsid w:val="00584262"/>
    <w:rsid w:val="00585E78"/>
    <w:rsid w:val="00586630"/>
    <w:rsid w:val="00587ADD"/>
    <w:rsid w:val="005905D0"/>
    <w:rsid w:val="0059178F"/>
    <w:rsid w:val="005926F9"/>
    <w:rsid w:val="00593A49"/>
    <w:rsid w:val="00596160"/>
    <w:rsid w:val="005966E2"/>
    <w:rsid w:val="00597007"/>
    <w:rsid w:val="005A0966"/>
    <w:rsid w:val="005A11B7"/>
    <w:rsid w:val="005A260B"/>
    <w:rsid w:val="005A38E5"/>
    <w:rsid w:val="005A4A1B"/>
    <w:rsid w:val="005A7830"/>
    <w:rsid w:val="005A7FCE"/>
    <w:rsid w:val="005B0F3F"/>
    <w:rsid w:val="005B191C"/>
    <w:rsid w:val="005B319B"/>
    <w:rsid w:val="005B4903"/>
    <w:rsid w:val="005B51CE"/>
    <w:rsid w:val="005B539D"/>
    <w:rsid w:val="005B54E8"/>
    <w:rsid w:val="005B5885"/>
    <w:rsid w:val="005B5CD7"/>
    <w:rsid w:val="005B6CF6"/>
    <w:rsid w:val="005B7422"/>
    <w:rsid w:val="005B7D55"/>
    <w:rsid w:val="005C149C"/>
    <w:rsid w:val="005C196D"/>
    <w:rsid w:val="005C23AD"/>
    <w:rsid w:val="005C29B8"/>
    <w:rsid w:val="005C5F21"/>
    <w:rsid w:val="005C7156"/>
    <w:rsid w:val="005D0C75"/>
    <w:rsid w:val="005D10D1"/>
    <w:rsid w:val="005D220A"/>
    <w:rsid w:val="005D4171"/>
    <w:rsid w:val="005D6A95"/>
    <w:rsid w:val="005D6B2C"/>
    <w:rsid w:val="005D6D9C"/>
    <w:rsid w:val="005E2335"/>
    <w:rsid w:val="005E34CA"/>
    <w:rsid w:val="005E3C18"/>
    <w:rsid w:val="005E4250"/>
    <w:rsid w:val="005E543A"/>
    <w:rsid w:val="005E6812"/>
    <w:rsid w:val="005E72A8"/>
    <w:rsid w:val="005E7881"/>
    <w:rsid w:val="005E78E0"/>
    <w:rsid w:val="005F0D9C"/>
    <w:rsid w:val="005F284E"/>
    <w:rsid w:val="005F5B16"/>
    <w:rsid w:val="005F736C"/>
    <w:rsid w:val="00600709"/>
    <w:rsid w:val="006015CE"/>
    <w:rsid w:val="00604784"/>
    <w:rsid w:val="00606419"/>
    <w:rsid w:val="00607D29"/>
    <w:rsid w:val="006116D8"/>
    <w:rsid w:val="00612952"/>
    <w:rsid w:val="0061489A"/>
    <w:rsid w:val="00614CC1"/>
    <w:rsid w:val="00615A9D"/>
    <w:rsid w:val="00617387"/>
    <w:rsid w:val="006205D6"/>
    <w:rsid w:val="00621C0F"/>
    <w:rsid w:val="00621FBB"/>
    <w:rsid w:val="0062472E"/>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57F8D"/>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1D2D"/>
    <w:rsid w:val="00697588"/>
    <w:rsid w:val="006A07AA"/>
    <w:rsid w:val="006A0F64"/>
    <w:rsid w:val="006A25E5"/>
    <w:rsid w:val="006A2B46"/>
    <w:rsid w:val="006A336D"/>
    <w:rsid w:val="006A37B9"/>
    <w:rsid w:val="006A78D7"/>
    <w:rsid w:val="006B2672"/>
    <w:rsid w:val="006B54BF"/>
    <w:rsid w:val="006B5F44"/>
    <w:rsid w:val="006B5F90"/>
    <w:rsid w:val="006B62E4"/>
    <w:rsid w:val="006B7D7A"/>
    <w:rsid w:val="006C0012"/>
    <w:rsid w:val="006C1BBA"/>
    <w:rsid w:val="006C1BE6"/>
    <w:rsid w:val="006C2079"/>
    <w:rsid w:val="006C4A15"/>
    <w:rsid w:val="006C5A62"/>
    <w:rsid w:val="006C5D68"/>
    <w:rsid w:val="006C6976"/>
    <w:rsid w:val="006C6DD0"/>
    <w:rsid w:val="006D04EA"/>
    <w:rsid w:val="006D16C4"/>
    <w:rsid w:val="006D1792"/>
    <w:rsid w:val="006D3E96"/>
    <w:rsid w:val="006D4515"/>
    <w:rsid w:val="006D4BB1"/>
    <w:rsid w:val="006D607F"/>
    <w:rsid w:val="006D6593"/>
    <w:rsid w:val="006E3BBE"/>
    <w:rsid w:val="006F03A8"/>
    <w:rsid w:val="006F2ACA"/>
    <w:rsid w:val="006F2ADC"/>
    <w:rsid w:val="006F2BFE"/>
    <w:rsid w:val="006F2DC9"/>
    <w:rsid w:val="006F31E9"/>
    <w:rsid w:val="006F6284"/>
    <w:rsid w:val="007002C5"/>
    <w:rsid w:val="00704387"/>
    <w:rsid w:val="00707669"/>
    <w:rsid w:val="0071073D"/>
    <w:rsid w:val="00711CBA"/>
    <w:rsid w:val="00711FB5"/>
    <w:rsid w:val="00712A01"/>
    <w:rsid w:val="00713AD5"/>
    <w:rsid w:val="00714F58"/>
    <w:rsid w:val="00720A9B"/>
    <w:rsid w:val="00722FBF"/>
    <w:rsid w:val="00722FC2"/>
    <w:rsid w:val="00724854"/>
    <w:rsid w:val="00724E1B"/>
    <w:rsid w:val="00725949"/>
    <w:rsid w:val="00726E78"/>
    <w:rsid w:val="00727FA2"/>
    <w:rsid w:val="00730E88"/>
    <w:rsid w:val="007322D9"/>
    <w:rsid w:val="00732BC0"/>
    <w:rsid w:val="00735E12"/>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8D7"/>
    <w:rsid w:val="00752B4D"/>
    <w:rsid w:val="00752FBE"/>
    <w:rsid w:val="00755402"/>
    <w:rsid w:val="00756B26"/>
    <w:rsid w:val="00756EDF"/>
    <w:rsid w:val="007600E3"/>
    <w:rsid w:val="007601C4"/>
    <w:rsid w:val="00765C43"/>
    <w:rsid w:val="00765EFB"/>
    <w:rsid w:val="0076602B"/>
    <w:rsid w:val="007671CA"/>
    <w:rsid w:val="00767C61"/>
    <w:rsid w:val="0077008A"/>
    <w:rsid w:val="00771B26"/>
    <w:rsid w:val="00773C1F"/>
    <w:rsid w:val="00774DA4"/>
    <w:rsid w:val="00776511"/>
    <w:rsid w:val="00776599"/>
    <w:rsid w:val="0078114B"/>
    <w:rsid w:val="00781DD2"/>
    <w:rsid w:val="007822D8"/>
    <w:rsid w:val="007824CB"/>
    <w:rsid w:val="00782F15"/>
    <w:rsid w:val="00783ECF"/>
    <w:rsid w:val="0078413A"/>
    <w:rsid w:val="0079539D"/>
    <w:rsid w:val="007959E8"/>
    <w:rsid w:val="00795E9C"/>
    <w:rsid w:val="007A0521"/>
    <w:rsid w:val="007A2E12"/>
    <w:rsid w:val="007A3475"/>
    <w:rsid w:val="007A41C8"/>
    <w:rsid w:val="007A54CE"/>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124"/>
    <w:rsid w:val="007D6518"/>
    <w:rsid w:val="007D76BD"/>
    <w:rsid w:val="007E0BF1"/>
    <w:rsid w:val="007F0ED8"/>
    <w:rsid w:val="007F0F63"/>
    <w:rsid w:val="007F4B01"/>
    <w:rsid w:val="007F68ED"/>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320"/>
    <w:rsid w:val="008209E6"/>
    <w:rsid w:val="00821FD1"/>
    <w:rsid w:val="00823303"/>
    <w:rsid w:val="008233B2"/>
    <w:rsid w:val="00823A9F"/>
    <w:rsid w:val="00823C85"/>
    <w:rsid w:val="00825138"/>
    <w:rsid w:val="008269DD"/>
    <w:rsid w:val="008272BD"/>
    <w:rsid w:val="00830621"/>
    <w:rsid w:val="00830B40"/>
    <w:rsid w:val="0083348C"/>
    <w:rsid w:val="008338ED"/>
    <w:rsid w:val="008373D3"/>
    <w:rsid w:val="00837DB3"/>
    <w:rsid w:val="00840617"/>
    <w:rsid w:val="00840ADC"/>
    <w:rsid w:val="00840F84"/>
    <w:rsid w:val="00842A47"/>
    <w:rsid w:val="00843C13"/>
    <w:rsid w:val="008454F8"/>
    <w:rsid w:val="0085135B"/>
    <w:rsid w:val="0085173A"/>
    <w:rsid w:val="00852C70"/>
    <w:rsid w:val="008603CE"/>
    <w:rsid w:val="008620FC"/>
    <w:rsid w:val="008627A5"/>
    <w:rsid w:val="00863E05"/>
    <w:rsid w:val="00865ACA"/>
    <w:rsid w:val="00865D28"/>
    <w:rsid w:val="00865F85"/>
    <w:rsid w:val="00866972"/>
    <w:rsid w:val="008677C1"/>
    <w:rsid w:val="00867C10"/>
    <w:rsid w:val="00870439"/>
    <w:rsid w:val="00870DA1"/>
    <w:rsid w:val="00873971"/>
    <w:rsid w:val="00880A82"/>
    <w:rsid w:val="00883F93"/>
    <w:rsid w:val="00884DB3"/>
    <w:rsid w:val="00885A9D"/>
    <w:rsid w:val="008864F6"/>
    <w:rsid w:val="0089049D"/>
    <w:rsid w:val="008928C9"/>
    <w:rsid w:val="008930CB"/>
    <w:rsid w:val="008938DC"/>
    <w:rsid w:val="00893FD1"/>
    <w:rsid w:val="00894836"/>
    <w:rsid w:val="00895172"/>
    <w:rsid w:val="00895680"/>
    <w:rsid w:val="00896C0B"/>
    <w:rsid w:val="00896DFF"/>
    <w:rsid w:val="0089762C"/>
    <w:rsid w:val="008A173B"/>
    <w:rsid w:val="008A1893"/>
    <w:rsid w:val="008A57E6"/>
    <w:rsid w:val="008A65B2"/>
    <w:rsid w:val="008A6F81"/>
    <w:rsid w:val="008A769A"/>
    <w:rsid w:val="008B0C9C"/>
    <w:rsid w:val="008B166D"/>
    <w:rsid w:val="008B17F4"/>
    <w:rsid w:val="008B1F36"/>
    <w:rsid w:val="008B3615"/>
    <w:rsid w:val="008B4AC4"/>
    <w:rsid w:val="008B50C8"/>
    <w:rsid w:val="008B5281"/>
    <w:rsid w:val="008B5F2D"/>
    <w:rsid w:val="008B7E05"/>
    <w:rsid w:val="008C1797"/>
    <w:rsid w:val="008C219C"/>
    <w:rsid w:val="008C475E"/>
    <w:rsid w:val="008C619A"/>
    <w:rsid w:val="008D0C84"/>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B8"/>
    <w:rsid w:val="008F1ED3"/>
    <w:rsid w:val="008F4C29"/>
    <w:rsid w:val="008F6077"/>
    <w:rsid w:val="008F70BD"/>
    <w:rsid w:val="008F788F"/>
    <w:rsid w:val="008F7EA2"/>
    <w:rsid w:val="009006DF"/>
    <w:rsid w:val="00900B07"/>
    <w:rsid w:val="00902722"/>
    <w:rsid w:val="009027BC"/>
    <w:rsid w:val="00905ABE"/>
    <w:rsid w:val="009062E6"/>
    <w:rsid w:val="00911BE5"/>
    <w:rsid w:val="00912487"/>
    <w:rsid w:val="00913CA9"/>
    <w:rsid w:val="009145AE"/>
    <w:rsid w:val="009146CE"/>
    <w:rsid w:val="00914CA7"/>
    <w:rsid w:val="00915C3E"/>
    <w:rsid w:val="009161A8"/>
    <w:rsid w:val="00920C25"/>
    <w:rsid w:val="009213A5"/>
    <w:rsid w:val="0092271C"/>
    <w:rsid w:val="009245AE"/>
    <w:rsid w:val="009245F5"/>
    <w:rsid w:val="009249EC"/>
    <w:rsid w:val="009273B3"/>
    <w:rsid w:val="009305B5"/>
    <w:rsid w:val="00935553"/>
    <w:rsid w:val="00935AE6"/>
    <w:rsid w:val="009378DD"/>
    <w:rsid w:val="009429D5"/>
    <w:rsid w:val="00942BF1"/>
    <w:rsid w:val="00945180"/>
    <w:rsid w:val="00945428"/>
    <w:rsid w:val="0094607B"/>
    <w:rsid w:val="00946FCE"/>
    <w:rsid w:val="00951D49"/>
    <w:rsid w:val="00953604"/>
    <w:rsid w:val="0095496B"/>
    <w:rsid w:val="00955768"/>
    <w:rsid w:val="00960F1E"/>
    <w:rsid w:val="009610DC"/>
    <w:rsid w:val="00961490"/>
    <w:rsid w:val="0096381A"/>
    <w:rsid w:val="009641CC"/>
    <w:rsid w:val="00965E04"/>
    <w:rsid w:val="009674AD"/>
    <w:rsid w:val="00970CDC"/>
    <w:rsid w:val="009723C8"/>
    <w:rsid w:val="009725D5"/>
    <w:rsid w:val="00972E10"/>
    <w:rsid w:val="0097311C"/>
    <w:rsid w:val="00975727"/>
    <w:rsid w:val="00977010"/>
    <w:rsid w:val="00977D02"/>
    <w:rsid w:val="00977FF9"/>
    <w:rsid w:val="009809BB"/>
    <w:rsid w:val="009818C6"/>
    <w:rsid w:val="00981EC7"/>
    <w:rsid w:val="0098364B"/>
    <w:rsid w:val="00985852"/>
    <w:rsid w:val="00987C3C"/>
    <w:rsid w:val="009908A3"/>
    <w:rsid w:val="009911AF"/>
    <w:rsid w:val="00991875"/>
    <w:rsid w:val="00991F92"/>
    <w:rsid w:val="00992985"/>
    <w:rsid w:val="00993889"/>
    <w:rsid w:val="0099551B"/>
    <w:rsid w:val="00996BD2"/>
    <w:rsid w:val="00997BA2"/>
    <w:rsid w:val="00997BF1"/>
    <w:rsid w:val="009A089C"/>
    <w:rsid w:val="009A118E"/>
    <w:rsid w:val="009A21CD"/>
    <w:rsid w:val="009A278C"/>
    <w:rsid w:val="009A2BC2"/>
    <w:rsid w:val="009A3C48"/>
    <w:rsid w:val="009A42C1"/>
    <w:rsid w:val="009A5429"/>
    <w:rsid w:val="009A72AD"/>
    <w:rsid w:val="009B09E0"/>
    <w:rsid w:val="009B0BC5"/>
    <w:rsid w:val="009B1247"/>
    <w:rsid w:val="009B6029"/>
    <w:rsid w:val="009B6971"/>
    <w:rsid w:val="009C2268"/>
    <w:rsid w:val="009C27F1"/>
    <w:rsid w:val="009C3152"/>
    <w:rsid w:val="009C3257"/>
    <w:rsid w:val="009C4BC1"/>
    <w:rsid w:val="009C4CFA"/>
    <w:rsid w:val="009C5070"/>
    <w:rsid w:val="009D112C"/>
    <w:rsid w:val="009D1385"/>
    <w:rsid w:val="009D47FA"/>
    <w:rsid w:val="009D4C5B"/>
    <w:rsid w:val="009D50D2"/>
    <w:rsid w:val="009D6BCA"/>
    <w:rsid w:val="009E0F62"/>
    <w:rsid w:val="009E3E5B"/>
    <w:rsid w:val="009E4A58"/>
    <w:rsid w:val="009E4C5C"/>
    <w:rsid w:val="009E5A2D"/>
    <w:rsid w:val="009E5AB2"/>
    <w:rsid w:val="009E6219"/>
    <w:rsid w:val="009F03B3"/>
    <w:rsid w:val="009F4F59"/>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AAB"/>
    <w:rsid w:val="00A32D73"/>
    <w:rsid w:val="00A3367B"/>
    <w:rsid w:val="00A35098"/>
    <w:rsid w:val="00A3597D"/>
    <w:rsid w:val="00A36DD1"/>
    <w:rsid w:val="00A4006C"/>
    <w:rsid w:val="00A40091"/>
    <w:rsid w:val="00A4030F"/>
    <w:rsid w:val="00A41C79"/>
    <w:rsid w:val="00A41CB5"/>
    <w:rsid w:val="00A42CDF"/>
    <w:rsid w:val="00A4452E"/>
    <w:rsid w:val="00A4472C"/>
    <w:rsid w:val="00A44E69"/>
    <w:rsid w:val="00A4516D"/>
    <w:rsid w:val="00A4661E"/>
    <w:rsid w:val="00A47B9C"/>
    <w:rsid w:val="00A55BD6"/>
    <w:rsid w:val="00A55D50"/>
    <w:rsid w:val="00A57142"/>
    <w:rsid w:val="00A5714F"/>
    <w:rsid w:val="00A60331"/>
    <w:rsid w:val="00A648CD"/>
    <w:rsid w:val="00A6537A"/>
    <w:rsid w:val="00A67866"/>
    <w:rsid w:val="00A70B07"/>
    <w:rsid w:val="00A71A08"/>
    <w:rsid w:val="00A723F8"/>
    <w:rsid w:val="00A72910"/>
    <w:rsid w:val="00A744D8"/>
    <w:rsid w:val="00A7535A"/>
    <w:rsid w:val="00A7616A"/>
    <w:rsid w:val="00A77ACC"/>
    <w:rsid w:val="00A77CCB"/>
    <w:rsid w:val="00A83D8D"/>
    <w:rsid w:val="00A84322"/>
    <w:rsid w:val="00A8446B"/>
    <w:rsid w:val="00A8473F"/>
    <w:rsid w:val="00A862D6"/>
    <w:rsid w:val="00A8715E"/>
    <w:rsid w:val="00A91828"/>
    <w:rsid w:val="00A9295B"/>
    <w:rsid w:val="00A93B09"/>
    <w:rsid w:val="00A952D7"/>
    <w:rsid w:val="00A963F7"/>
    <w:rsid w:val="00A96AD8"/>
    <w:rsid w:val="00AA052C"/>
    <w:rsid w:val="00AA09D6"/>
    <w:rsid w:val="00AA1C92"/>
    <w:rsid w:val="00AA1E45"/>
    <w:rsid w:val="00AA28BC"/>
    <w:rsid w:val="00AA4286"/>
    <w:rsid w:val="00AA456B"/>
    <w:rsid w:val="00AA4B9D"/>
    <w:rsid w:val="00AA57F5"/>
    <w:rsid w:val="00AA672E"/>
    <w:rsid w:val="00AA6D68"/>
    <w:rsid w:val="00AA6EC9"/>
    <w:rsid w:val="00AB6309"/>
    <w:rsid w:val="00AB6C5F"/>
    <w:rsid w:val="00AB7129"/>
    <w:rsid w:val="00AC1492"/>
    <w:rsid w:val="00AC1C5F"/>
    <w:rsid w:val="00AC27A6"/>
    <w:rsid w:val="00AC2F41"/>
    <w:rsid w:val="00AC30F7"/>
    <w:rsid w:val="00AC3A5A"/>
    <w:rsid w:val="00AC4D95"/>
    <w:rsid w:val="00AC5DF4"/>
    <w:rsid w:val="00AD0AEF"/>
    <w:rsid w:val="00AD11B7"/>
    <w:rsid w:val="00AD1A94"/>
    <w:rsid w:val="00AD1C05"/>
    <w:rsid w:val="00AD35D6"/>
    <w:rsid w:val="00AD4126"/>
    <w:rsid w:val="00AD421C"/>
    <w:rsid w:val="00AD44FA"/>
    <w:rsid w:val="00AD567B"/>
    <w:rsid w:val="00AE070A"/>
    <w:rsid w:val="00AE101C"/>
    <w:rsid w:val="00AE2A69"/>
    <w:rsid w:val="00AE37E5"/>
    <w:rsid w:val="00AE5CBF"/>
    <w:rsid w:val="00AE5EB4"/>
    <w:rsid w:val="00AF0C18"/>
    <w:rsid w:val="00AF47C5"/>
    <w:rsid w:val="00AF5398"/>
    <w:rsid w:val="00AF756E"/>
    <w:rsid w:val="00B049AF"/>
    <w:rsid w:val="00B04A61"/>
    <w:rsid w:val="00B07242"/>
    <w:rsid w:val="00B10534"/>
    <w:rsid w:val="00B113DB"/>
    <w:rsid w:val="00B1182B"/>
    <w:rsid w:val="00B11D8A"/>
    <w:rsid w:val="00B12981"/>
    <w:rsid w:val="00B147DD"/>
    <w:rsid w:val="00B156FD"/>
    <w:rsid w:val="00B17198"/>
    <w:rsid w:val="00B21F61"/>
    <w:rsid w:val="00B23436"/>
    <w:rsid w:val="00B25173"/>
    <w:rsid w:val="00B261F1"/>
    <w:rsid w:val="00B265BC"/>
    <w:rsid w:val="00B26C1C"/>
    <w:rsid w:val="00B31FB1"/>
    <w:rsid w:val="00B33952"/>
    <w:rsid w:val="00B33C5E"/>
    <w:rsid w:val="00B342F4"/>
    <w:rsid w:val="00B34369"/>
    <w:rsid w:val="00B34DC2"/>
    <w:rsid w:val="00B35BD4"/>
    <w:rsid w:val="00B362A4"/>
    <w:rsid w:val="00B378E5"/>
    <w:rsid w:val="00B430A3"/>
    <w:rsid w:val="00B4346D"/>
    <w:rsid w:val="00B440F4"/>
    <w:rsid w:val="00B447A5"/>
    <w:rsid w:val="00B4654C"/>
    <w:rsid w:val="00B47293"/>
    <w:rsid w:val="00B50E50"/>
    <w:rsid w:val="00B52120"/>
    <w:rsid w:val="00B54ABC"/>
    <w:rsid w:val="00B56FBE"/>
    <w:rsid w:val="00B60ACF"/>
    <w:rsid w:val="00B615C3"/>
    <w:rsid w:val="00B62B58"/>
    <w:rsid w:val="00B65071"/>
    <w:rsid w:val="00B65149"/>
    <w:rsid w:val="00B651CA"/>
    <w:rsid w:val="00B66567"/>
    <w:rsid w:val="00B66F52"/>
    <w:rsid w:val="00B66FE5"/>
    <w:rsid w:val="00B72880"/>
    <w:rsid w:val="00B758BF"/>
    <w:rsid w:val="00B77DE5"/>
    <w:rsid w:val="00B77EC8"/>
    <w:rsid w:val="00B81C3A"/>
    <w:rsid w:val="00B827A6"/>
    <w:rsid w:val="00B831CE"/>
    <w:rsid w:val="00B86677"/>
    <w:rsid w:val="00B87131"/>
    <w:rsid w:val="00B90A39"/>
    <w:rsid w:val="00B939B1"/>
    <w:rsid w:val="00B96D40"/>
    <w:rsid w:val="00B97386"/>
    <w:rsid w:val="00BA02FD"/>
    <w:rsid w:val="00BA263B"/>
    <w:rsid w:val="00BA42B2"/>
    <w:rsid w:val="00BA58D4"/>
    <w:rsid w:val="00BA5B9E"/>
    <w:rsid w:val="00BA709B"/>
    <w:rsid w:val="00BA7C9A"/>
    <w:rsid w:val="00BB016E"/>
    <w:rsid w:val="00BB5F8F"/>
    <w:rsid w:val="00BB657A"/>
    <w:rsid w:val="00BC1A4E"/>
    <w:rsid w:val="00BC5DC7"/>
    <w:rsid w:val="00BC6B8B"/>
    <w:rsid w:val="00BC73D8"/>
    <w:rsid w:val="00BD2159"/>
    <w:rsid w:val="00BD2847"/>
    <w:rsid w:val="00BD52D7"/>
    <w:rsid w:val="00BD53EC"/>
    <w:rsid w:val="00BD5AD2"/>
    <w:rsid w:val="00BD72D9"/>
    <w:rsid w:val="00BE22F3"/>
    <w:rsid w:val="00BE5B52"/>
    <w:rsid w:val="00BE5DCE"/>
    <w:rsid w:val="00BE7B8D"/>
    <w:rsid w:val="00BF0993"/>
    <w:rsid w:val="00BF10A9"/>
    <w:rsid w:val="00BF1703"/>
    <w:rsid w:val="00BF231C"/>
    <w:rsid w:val="00BF51E5"/>
    <w:rsid w:val="00BF535F"/>
    <w:rsid w:val="00BF7128"/>
    <w:rsid w:val="00BF74A6"/>
    <w:rsid w:val="00C013AD"/>
    <w:rsid w:val="00C02039"/>
    <w:rsid w:val="00C029B6"/>
    <w:rsid w:val="00C04904"/>
    <w:rsid w:val="00C056B3"/>
    <w:rsid w:val="00C103E5"/>
    <w:rsid w:val="00C13319"/>
    <w:rsid w:val="00C13CFE"/>
    <w:rsid w:val="00C13DF9"/>
    <w:rsid w:val="00C13EE9"/>
    <w:rsid w:val="00C21540"/>
    <w:rsid w:val="00C21906"/>
    <w:rsid w:val="00C21BFA"/>
    <w:rsid w:val="00C23338"/>
    <w:rsid w:val="00C24C8D"/>
    <w:rsid w:val="00C25FE2"/>
    <w:rsid w:val="00C26B53"/>
    <w:rsid w:val="00C279B2"/>
    <w:rsid w:val="00C30AE9"/>
    <w:rsid w:val="00C33E50"/>
    <w:rsid w:val="00C34C20"/>
    <w:rsid w:val="00C35195"/>
    <w:rsid w:val="00C35A3E"/>
    <w:rsid w:val="00C42130"/>
    <w:rsid w:val="00C423A4"/>
    <w:rsid w:val="00C423E3"/>
    <w:rsid w:val="00C44BF5"/>
    <w:rsid w:val="00C50A03"/>
    <w:rsid w:val="00C521D6"/>
    <w:rsid w:val="00C53245"/>
    <w:rsid w:val="00C539AD"/>
    <w:rsid w:val="00C55232"/>
    <w:rsid w:val="00C553A4"/>
    <w:rsid w:val="00C55A06"/>
    <w:rsid w:val="00C55D03"/>
    <w:rsid w:val="00C5789E"/>
    <w:rsid w:val="00C601BC"/>
    <w:rsid w:val="00C6329F"/>
    <w:rsid w:val="00C63340"/>
    <w:rsid w:val="00C643F9"/>
    <w:rsid w:val="00C64E95"/>
    <w:rsid w:val="00C6596F"/>
    <w:rsid w:val="00C71372"/>
    <w:rsid w:val="00C72410"/>
    <w:rsid w:val="00C7287F"/>
    <w:rsid w:val="00C730F4"/>
    <w:rsid w:val="00C754F1"/>
    <w:rsid w:val="00C801C4"/>
    <w:rsid w:val="00C80CB8"/>
    <w:rsid w:val="00C819F8"/>
    <w:rsid w:val="00C8248C"/>
    <w:rsid w:val="00C84E33"/>
    <w:rsid w:val="00C86D6F"/>
    <w:rsid w:val="00C872B1"/>
    <w:rsid w:val="00C905FC"/>
    <w:rsid w:val="00C90E22"/>
    <w:rsid w:val="00C9195E"/>
    <w:rsid w:val="00C91A7D"/>
    <w:rsid w:val="00C92D03"/>
    <w:rsid w:val="00C9319C"/>
    <w:rsid w:val="00C9435D"/>
    <w:rsid w:val="00C943DD"/>
    <w:rsid w:val="00C94DF2"/>
    <w:rsid w:val="00C95DFD"/>
    <w:rsid w:val="00C96741"/>
    <w:rsid w:val="00C96FFF"/>
    <w:rsid w:val="00C978DC"/>
    <w:rsid w:val="00CA2D1B"/>
    <w:rsid w:val="00CA375D"/>
    <w:rsid w:val="00CA662A"/>
    <w:rsid w:val="00CA7AFD"/>
    <w:rsid w:val="00CA7C3C"/>
    <w:rsid w:val="00CB0189"/>
    <w:rsid w:val="00CB0BA2"/>
    <w:rsid w:val="00CB1A42"/>
    <w:rsid w:val="00CB1B0C"/>
    <w:rsid w:val="00CB2C0B"/>
    <w:rsid w:val="00CB4695"/>
    <w:rsid w:val="00CB517D"/>
    <w:rsid w:val="00CB74CF"/>
    <w:rsid w:val="00CC022F"/>
    <w:rsid w:val="00CC038D"/>
    <w:rsid w:val="00CC08DB"/>
    <w:rsid w:val="00CC39FF"/>
    <w:rsid w:val="00CC3C2F"/>
    <w:rsid w:val="00CC46CA"/>
    <w:rsid w:val="00CC4AC8"/>
    <w:rsid w:val="00CC5233"/>
    <w:rsid w:val="00CC5DE6"/>
    <w:rsid w:val="00CC6E4E"/>
    <w:rsid w:val="00CC6FE8"/>
    <w:rsid w:val="00CC7202"/>
    <w:rsid w:val="00CC7FE0"/>
    <w:rsid w:val="00CD034F"/>
    <w:rsid w:val="00CD2808"/>
    <w:rsid w:val="00CD28BF"/>
    <w:rsid w:val="00CD4092"/>
    <w:rsid w:val="00CD4A20"/>
    <w:rsid w:val="00CD50A1"/>
    <w:rsid w:val="00CD519E"/>
    <w:rsid w:val="00CD6438"/>
    <w:rsid w:val="00CE0C4F"/>
    <w:rsid w:val="00CE15F1"/>
    <w:rsid w:val="00CE190A"/>
    <w:rsid w:val="00CE30EA"/>
    <w:rsid w:val="00CE7048"/>
    <w:rsid w:val="00CF048A"/>
    <w:rsid w:val="00CF155A"/>
    <w:rsid w:val="00CF2947"/>
    <w:rsid w:val="00CF5352"/>
    <w:rsid w:val="00CF686F"/>
    <w:rsid w:val="00CF6E60"/>
    <w:rsid w:val="00CF7BCA"/>
    <w:rsid w:val="00D008FD"/>
    <w:rsid w:val="00D0321C"/>
    <w:rsid w:val="00D035EC"/>
    <w:rsid w:val="00D06AB1"/>
    <w:rsid w:val="00D06FC1"/>
    <w:rsid w:val="00D072ED"/>
    <w:rsid w:val="00D07A16"/>
    <w:rsid w:val="00D102A2"/>
    <w:rsid w:val="00D1067E"/>
    <w:rsid w:val="00D10F50"/>
    <w:rsid w:val="00D11272"/>
    <w:rsid w:val="00D1135C"/>
    <w:rsid w:val="00D126F5"/>
    <w:rsid w:val="00D1489E"/>
    <w:rsid w:val="00D1700D"/>
    <w:rsid w:val="00D20737"/>
    <w:rsid w:val="00D21E81"/>
    <w:rsid w:val="00D223DE"/>
    <w:rsid w:val="00D249E3"/>
    <w:rsid w:val="00D24BCD"/>
    <w:rsid w:val="00D24D7E"/>
    <w:rsid w:val="00D24F94"/>
    <w:rsid w:val="00D25E37"/>
    <w:rsid w:val="00D25F58"/>
    <w:rsid w:val="00D2661A"/>
    <w:rsid w:val="00D27582"/>
    <w:rsid w:val="00D27EC4"/>
    <w:rsid w:val="00D32719"/>
    <w:rsid w:val="00D33333"/>
    <w:rsid w:val="00D352A2"/>
    <w:rsid w:val="00D4162B"/>
    <w:rsid w:val="00D439C1"/>
    <w:rsid w:val="00D4514F"/>
    <w:rsid w:val="00D451E2"/>
    <w:rsid w:val="00D45E89"/>
    <w:rsid w:val="00D45E8D"/>
    <w:rsid w:val="00D465BD"/>
    <w:rsid w:val="00D466AE"/>
    <w:rsid w:val="00D4734F"/>
    <w:rsid w:val="00D51BF3"/>
    <w:rsid w:val="00D56AE5"/>
    <w:rsid w:val="00D6173D"/>
    <w:rsid w:val="00D66846"/>
    <w:rsid w:val="00D675FB"/>
    <w:rsid w:val="00D71F25"/>
    <w:rsid w:val="00D72A9C"/>
    <w:rsid w:val="00D7330A"/>
    <w:rsid w:val="00D76FF0"/>
    <w:rsid w:val="00D77031"/>
    <w:rsid w:val="00D81342"/>
    <w:rsid w:val="00D84941"/>
    <w:rsid w:val="00D84FA1"/>
    <w:rsid w:val="00D851F0"/>
    <w:rsid w:val="00D85EAD"/>
    <w:rsid w:val="00D86DB7"/>
    <w:rsid w:val="00D87BF5"/>
    <w:rsid w:val="00D90721"/>
    <w:rsid w:val="00D919F0"/>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100F"/>
    <w:rsid w:val="00DB38EE"/>
    <w:rsid w:val="00DB498B"/>
    <w:rsid w:val="00DB66CA"/>
    <w:rsid w:val="00DB6BCA"/>
    <w:rsid w:val="00DB6F54"/>
    <w:rsid w:val="00DB73F7"/>
    <w:rsid w:val="00DC0321"/>
    <w:rsid w:val="00DC12AE"/>
    <w:rsid w:val="00DC3067"/>
    <w:rsid w:val="00DC36C0"/>
    <w:rsid w:val="00DC370B"/>
    <w:rsid w:val="00DC5B90"/>
    <w:rsid w:val="00DD00FF"/>
    <w:rsid w:val="00DD0619"/>
    <w:rsid w:val="00DD07FB"/>
    <w:rsid w:val="00DD25C6"/>
    <w:rsid w:val="00DD4FE5"/>
    <w:rsid w:val="00DD54B0"/>
    <w:rsid w:val="00DD57EE"/>
    <w:rsid w:val="00DD683D"/>
    <w:rsid w:val="00DD6BCC"/>
    <w:rsid w:val="00DD7950"/>
    <w:rsid w:val="00DE0A4B"/>
    <w:rsid w:val="00DE2410"/>
    <w:rsid w:val="00DE2939"/>
    <w:rsid w:val="00DE6E81"/>
    <w:rsid w:val="00DE703F"/>
    <w:rsid w:val="00DE7595"/>
    <w:rsid w:val="00DE7E83"/>
    <w:rsid w:val="00DF1961"/>
    <w:rsid w:val="00DF44DE"/>
    <w:rsid w:val="00E01138"/>
    <w:rsid w:val="00E02DFB"/>
    <w:rsid w:val="00E03048"/>
    <w:rsid w:val="00E030F9"/>
    <w:rsid w:val="00E0311A"/>
    <w:rsid w:val="00E03138"/>
    <w:rsid w:val="00E06404"/>
    <w:rsid w:val="00E10B86"/>
    <w:rsid w:val="00E11A85"/>
    <w:rsid w:val="00E12495"/>
    <w:rsid w:val="00E15CCD"/>
    <w:rsid w:val="00E1615D"/>
    <w:rsid w:val="00E202EF"/>
    <w:rsid w:val="00E210B5"/>
    <w:rsid w:val="00E21AC3"/>
    <w:rsid w:val="00E2552F"/>
    <w:rsid w:val="00E3137A"/>
    <w:rsid w:val="00E31D65"/>
    <w:rsid w:val="00E32CCF"/>
    <w:rsid w:val="00E33DEB"/>
    <w:rsid w:val="00E34A98"/>
    <w:rsid w:val="00E35D1E"/>
    <w:rsid w:val="00E364F9"/>
    <w:rsid w:val="00E365FA"/>
    <w:rsid w:val="00E36789"/>
    <w:rsid w:val="00E37F31"/>
    <w:rsid w:val="00E42783"/>
    <w:rsid w:val="00E4390B"/>
    <w:rsid w:val="00E44A83"/>
    <w:rsid w:val="00E4564D"/>
    <w:rsid w:val="00E502C1"/>
    <w:rsid w:val="00E502DD"/>
    <w:rsid w:val="00E508ED"/>
    <w:rsid w:val="00E50D3A"/>
    <w:rsid w:val="00E51387"/>
    <w:rsid w:val="00E51E68"/>
    <w:rsid w:val="00E524C1"/>
    <w:rsid w:val="00E52761"/>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2C35"/>
    <w:rsid w:val="00EB31ED"/>
    <w:rsid w:val="00EB5EDF"/>
    <w:rsid w:val="00EB60FE"/>
    <w:rsid w:val="00EB74DB"/>
    <w:rsid w:val="00EC5359"/>
    <w:rsid w:val="00EC562A"/>
    <w:rsid w:val="00ED067A"/>
    <w:rsid w:val="00ED14B5"/>
    <w:rsid w:val="00ED2B50"/>
    <w:rsid w:val="00ED3BBC"/>
    <w:rsid w:val="00EE0350"/>
    <w:rsid w:val="00EE0719"/>
    <w:rsid w:val="00EE0C2E"/>
    <w:rsid w:val="00EE0E80"/>
    <w:rsid w:val="00EE613F"/>
    <w:rsid w:val="00EE7295"/>
    <w:rsid w:val="00EE7869"/>
    <w:rsid w:val="00EF054A"/>
    <w:rsid w:val="00EF3235"/>
    <w:rsid w:val="00EF7E72"/>
    <w:rsid w:val="00F06D37"/>
    <w:rsid w:val="00F07B9D"/>
    <w:rsid w:val="00F1000C"/>
    <w:rsid w:val="00F11586"/>
    <w:rsid w:val="00F1183B"/>
    <w:rsid w:val="00F11C9F"/>
    <w:rsid w:val="00F12263"/>
    <w:rsid w:val="00F1409D"/>
    <w:rsid w:val="00F14214"/>
    <w:rsid w:val="00F157A9"/>
    <w:rsid w:val="00F16F00"/>
    <w:rsid w:val="00F21398"/>
    <w:rsid w:val="00F25BB6"/>
    <w:rsid w:val="00F26B7E"/>
    <w:rsid w:val="00F27A3B"/>
    <w:rsid w:val="00F33817"/>
    <w:rsid w:val="00F420D5"/>
    <w:rsid w:val="00F451EA"/>
    <w:rsid w:val="00F45447"/>
    <w:rsid w:val="00F456C6"/>
    <w:rsid w:val="00F4577B"/>
    <w:rsid w:val="00F46496"/>
    <w:rsid w:val="00F474D0"/>
    <w:rsid w:val="00F50179"/>
    <w:rsid w:val="00F515EE"/>
    <w:rsid w:val="00F54A20"/>
    <w:rsid w:val="00F56511"/>
    <w:rsid w:val="00F6194E"/>
    <w:rsid w:val="00F623AC"/>
    <w:rsid w:val="00F638F9"/>
    <w:rsid w:val="00F6412A"/>
    <w:rsid w:val="00F65893"/>
    <w:rsid w:val="00F66A4A"/>
    <w:rsid w:val="00F670C4"/>
    <w:rsid w:val="00F71E22"/>
    <w:rsid w:val="00F72142"/>
    <w:rsid w:val="00F72AE7"/>
    <w:rsid w:val="00F7607E"/>
    <w:rsid w:val="00F833BA"/>
    <w:rsid w:val="00F83CB4"/>
    <w:rsid w:val="00F84FD0"/>
    <w:rsid w:val="00F859A8"/>
    <w:rsid w:val="00F86D87"/>
    <w:rsid w:val="00F9108B"/>
    <w:rsid w:val="00F91349"/>
    <w:rsid w:val="00F93A8A"/>
    <w:rsid w:val="00F95248"/>
    <w:rsid w:val="00F956A9"/>
    <w:rsid w:val="00F963ED"/>
    <w:rsid w:val="00F966CF"/>
    <w:rsid w:val="00F96CAE"/>
    <w:rsid w:val="00F974D5"/>
    <w:rsid w:val="00F97C99"/>
    <w:rsid w:val="00FA3124"/>
    <w:rsid w:val="00FA662D"/>
    <w:rsid w:val="00FA73B1"/>
    <w:rsid w:val="00FB0CB9"/>
    <w:rsid w:val="00FB231D"/>
    <w:rsid w:val="00FB45F1"/>
    <w:rsid w:val="00FB4A72"/>
    <w:rsid w:val="00FB54E8"/>
    <w:rsid w:val="00FB62B3"/>
    <w:rsid w:val="00FB7054"/>
    <w:rsid w:val="00FC17B7"/>
    <w:rsid w:val="00FC2463"/>
    <w:rsid w:val="00FC280B"/>
    <w:rsid w:val="00FC2CB7"/>
    <w:rsid w:val="00FC4090"/>
    <w:rsid w:val="00FC55B4"/>
    <w:rsid w:val="00FD00E6"/>
    <w:rsid w:val="00FD02FB"/>
    <w:rsid w:val="00FD09A1"/>
    <w:rsid w:val="00FD2A7C"/>
    <w:rsid w:val="00FD59EB"/>
    <w:rsid w:val="00FD7299"/>
    <w:rsid w:val="00FD7C23"/>
    <w:rsid w:val="00FE1FBE"/>
    <w:rsid w:val="00FE3901"/>
    <w:rsid w:val="00FE39D3"/>
    <w:rsid w:val="00FE4BCE"/>
    <w:rsid w:val="00FE54AE"/>
    <w:rsid w:val="00FE576A"/>
    <w:rsid w:val="00FE7E79"/>
    <w:rsid w:val="00FF2A87"/>
    <w:rsid w:val="00FF3E7D"/>
    <w:rsid w:val="00FF5B99"/>
    <w:rsid w:val="00FF730C"/>
    <w:rsid w:val="00FF73F4"/>
    <w:rsid w:val="00FF7CE4"/>
    <w:rsid w:val="00FF7E39"/>
    <w:rsid w:val="041F20D1"/>
    <w:rsid w:val="0C980754"/>
    <w:rsid w:val="0E39045D"/>
    <w:rsid w:val="11032FA4"/>
    <w:rsid w:val="22B67E76"/>
    <w:rsid w:val="26995AE5"/>
    <w:rsid w:val="325955C8"/>
    <w:rsid w:val="42DE2DA6"/>
    <w:rsid w:val="44D25781"/>
    <w:rsid w:val="4F141F4B"/>
    <w:rsid w:val="561130EA"/>
    <w:rsid w:val="6CD1274A"/>
    <w:rsid w:val="7B000E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34"/>
    <w:qFormat/>
    <w:uiPriority w:val="0"/>
    <w:pPr>
      <w:keepNext/>
      <w:keepLines/>
      <w:widowControl w:val="0"/>
      <w:adjustRightInd w:val="0"/>
      <w:spacing w:before="340" w:after="330" w:line="578" w:lineRule="auto"/>
      <w:jc w:val="both"/>
      <w:outlineLvl w:val="0"/>
    </w:pPr>
    <w:rPr>
      <w:rFonts w:ascii="Calibri" w:hAnsi="Calibri" w:cs="Times New Roman"/>
      <w:b/>
      <w:bCs/>
      <w:kern w:val="44"/>
      <w:sz w:val="44"/>
      <w:szCs w:val="44"/>
    </w:rPr>
  </w:style>
  <w:style w:type="paragraph" w:styleId="3">
    <w:name w:val="heading 2"/>
    <w:basedOn w:val="1"/>
    <w:next w:val="1"/>
    <w:link w:val="35"/>
    <w:qFormat/>
    <w:uiPriority w:val="0"/>
    <w:pPr>
      <w:keepNext/>
      <w:keepLines/>
      <w:widowControl w:val="0"/>
      <w:adjustRightInd w:val="0"/>
      <w:spacing w:before="260" w:after="260" w:line="416" w:lineRule="auto"/>
      <w:jc w:val="both"/>
      <w:outlineLvl w:val="1"/>
    </w:pPr>
    <w:rPr>
      <w:rFonts w:ascii="Arial" w:hAnsi="Arial" w:eastAsia="黑体" w:cs="Times New Roman"/>
      <w:b/>
      <w:bCs/>
      <w:kern w:val="2"/>
      <w:sz w:val="32"/>
      <w:szCs w:val="32"/>
    </w:rPr>
  </w:style>
  <w:style w:type="paragraph" w:styleId="4">
    <w:name w:val="heading 3"/>
    <w:basedOn w:val="1"/>
    <w:next w:val="1"/>
    <w:link w:val="36"/>
    <w:qFormat/>
    <w:uiPriority w:val="0"/>
    <w:pPr>
      <w:keepNext/>
      <w:keepLines/>
      <w:widowControl w:val="0"/>
      <w:adjustRightInd w:val="0"/>
      <w:spacing w:before="260" w:after="260" w:line="416" w:lineRule="auto"/>
      <w:jc w:val="both"/>
      <w:outlineLvl w:val="2"/>
    </w:pPr>
    <w:rPr>
      <w:rFonts w:ascii="Calibri" w:hAnsi="Calibri" w:cs="Times New Roman"/>
      <w:b/>
      <w:bCs/>
      <w:kern w:val="2"/>
      <w:sz w:val="32"/>
      <w:szCs w:val="32"/>
    </w:rPr>
  </w:style>
  <w:style w:type="paragraph" w:styleId="5">
    <w:name w:val="heading 4"/>
    <w:basedOn w:val="1"/>
    <w:next w:val="1"/>
    <w:link w:val="37"/>
    <w:qFormat/>
    <w:uiPriority w:val="0"/>
    <w:pPr>
      <w:keepNext/>
      <w:keepLines/>
      <w:widowControl w:val="0"/>
      <w:adjustRightInd w:val="0"/>
      <w:spacing w:before="280" w:after="290" w:line="376" w:lineRule="auto"/>
      <w:jc w:val="both"/>
      <w:outlineLvl w:val="3"/>
    </w:pPr>
    <w:rPr>
      <w:rFonts w:ascii="Arial" w:hAnsi="Arial" w:eastAsia="黑体" w:cs="Times New Roman"/>
      <w:b/>
      <w:bCs/>
      <w:kern w:val="2"/>
      <w:sz w:val="28"/>
      <w:szCs w:val="28"/>
    </w:rPr>
  </w:style>
  <w:style w:type="paragraph" w:styleId="6">
    <w:name w:val="heading 5"/>
    <w:basedOn w:val="1"/>
    <w:next w:val="1"/>
    <w:link w:val="38"/>
    <w:qFormat/>
    <w:uiPriority w:val="0"/>
    <w:pPr>
      <w:keepNext/>
      <w:keepLines/>
      <w:widowControl w:val="0"/>
      <w:spacing w:before="280" w:after="290" w:line="376" w:lineRule="auto"/>
      <w:jc w:val="both"/>
      <w:outlineLvl w:val="4"/>
    </w:pPr>
    <w:rPr>
      <w:rFonts w:ascii="Calibri" w:hAnsi="Calibri" w:cs="Times New Roman"/>
      <w:b/>
      <w:bCs/>
      <w:kern w:val="2"/>
      <w:sz w:val="28"/>
      <w:szCs w:val="28"/>
    </w:rPr>
  </w:style>
  <w:style w:type="paragraph" w:styleId="7">
    <w:name w:val="heading 6"/>
    <w:basedOn w:val="1"/>
    <w:next w:val="1"/>
    <w:link w:val="39"/>
    <w:qFormat/>
    <w:uiPriority w:val="0"/>
    <w:pPr>
      <w:keepNext/>
      <w:keepLines/>
      <w:widowControl w:val="0"/>
      <w:spacing w:before="240" w:after="64" w:line="320" w:lineRule="auto"/>
      <w:jc w:val="both"/>
      <w:outlineLvl w:val="5"/>
    </w:pPr>
    <w:rPr>
      <w:rFonts w:ascii="Arial" w:hAnsi="Arial" w:eastAsia="黑体" w:cs="Times New Roman"/>
      <w:b/>
      <w:bCs/>
      <w:kern w:val="2"/>
    </w:rPr>
  </w:style>
  <w:style w:type="paragraph" w:styleId="8">
    <w:name w:val="heading 7"/>
    <w:basedOn w:val="1"/>
    <w:next w:val="1"/>
    <w:link w:val="40"/>
    <w:qFormat/>
    <w:uiPriority w:val="0"/>
    <w:pPr>
      <w:keepNext/>
      <w:keepLines/>
      <w:widowControl w:val="0"/>
      <w:spacing w:before="240" w:after="64" w:line="320" w:lineRule="auto"/>
      <w:jc w:val="both"/>
      <w:outlineLvl w:val="6"/>
    </w:pPr>
    <w:rPr>
      <w:rFonts w:ascii="Calibri" w:hAnsi="Calibri" w:cs="Times New Roman"/>
      <w:b/>
      <w:bCs/>
      <w:kern w:val="2"/>
    </w:rPr>
  </w:style>
  <w:style w:type="paragraph" w:styleId="9">
    <w:name w:val="heading 8"/>
    <w:basedOn w:val="1"/>
    <w:next w:val="1"/>
    <w:link w:val="41"/>
    <w:qFormat/>
    <w:uiPriority w:val="0"/>
    <w:pPr>
      <w:keepNext/>
      <w:keepLines/>
      <w:widowControl w:val="0"/>
      <w:spacing w:before="240" w:after="64" w:line="320" w:lineRule="auto"/>
      <w:jc w:val="both"/>
      <w:outlineLvl w:val="7"/>
    </w:pPr>
    <w:rPr>
      <w:rFonts w:ascii="Arial" w:hAnsi="Arial" w:eastAsia="黑体" w:cs="Times New Roman"/>
      <w:kern w:val="2"/>
    </w:rPr>
  </w:style>
  <w:style w:type="paragraph" w:styleId="10">
    <w:name w:val="heading 9"/>
    <w:basedOn w:val="1"/>
    <w:next w:val="1"/>
    <w:link w:val="42"/>
    <w:qFormat/>
    <w:uiPriority w:val="0"/>
    <w:pPr>
      <w:keepNext/>
      <w:keepLines/>
      <w:widowControl w:val="0"/>
      <w:spacing w:before="240" w:after="64" w:line="320" w:lineRule="auto"/>
      <w:jc w:val="both"/>
      <w:outlineLvl w:val="8"/>
    </w:pPr>
    <w:rPr>
      <w:rFonts w:ascii="Arial" w:hAnsi="Arial" w:eastAsia="黑体" w:cs="Times New Roman"/>
      <w:kern w:val="2"/>
      <w:sz w:val="21"/>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widowControl w:val="0"/>
      <w:tabs>
        <w:tab w:val="right" w:leader="dot" w:pos="9344"/>
      </w:tabs>
      <w:adjustRightInd w:val="0"/>
      <w:spacing w:line="300" w:lineRule="exact"/>
      <w:ind w:left="1259"/>
      <w:jc w:val="both"/>
    </w:pPr>
    <w:rPr>
      <w:rFonts w:hAnsi="Calibri" w:cs="Times New Roman"/>
      <w:kern w:val="2"/>
      <w:sz w:val="21"/>
      <w:szCs w:val="21"/>
    </w:rPr>
  </w:style>
  <w:style w:type="paragraph" w:styleId="12">
    <w:name w:val="Normal Indent"/>
    <w:basedOn w:val="1"/>
    <w:qFormat/>
    <w:uiPriority w:val="0"/>
    <w:pPr>
      <w:widowControl w:val="0"/>
      <w:adjustRightInd w:val="0"/>
      <w:spacing w:line="400" w:lineRule="exact"/>
      <w:ind w:firstLine="420"/>
      <w:jc w:val="both"/>
    </w:pPr>
    <w:rPr>
      <w:rFonts w:ascii="Calibri" w:hAnsi="Calibri" w:cs="Times New Roman"/>
      <w:kern w:val="2"/>
      <w:sz w:val="21"/>
      <w:szCs w:val="21"/>
    </w:rPr>
  </w:style>
  <w:style w:type="paragraph" w:styleId="13">
    <w:name w:val="Body Text"/>
    <w:basedOn w:val="1"/>
    <w:link w:val="86"/>
    <w:qFormat/>
    <w:uiPriority w:val="0"/>
    <w:pPr>
      <w:widowControl w:val="0"/>
      <w:adjustRightInd w:val="0"/>
      <w:spacing w:after="120" w:line="400" w:lineRule="exact"/>
      <w:jc w:val="both"/>
    </w:pPr>
    <w:rPr>
      <w:rFonts w:ascii="Calibri" w:hAnsi="Calibri" w:cs="Times New Roman"/>
      <w:kern w:val="2"/>
      <w:sz w:val="21"/>
      <w:szCs w:val="21"/>
    </w:rPr>
  </w:style>
  <w:style w:type="paragraph" w:styleId="14">
    <w:name w:val="toc 5"/>
    <w:basedOn w:val="1"/>
    <w:next w:val="1"/>
    <w:autoRedefine/>
    <w:unhideWhenUsed/>
    <w:qFormat/>
    <w:uiPriority w:val="39"/>
    <w:pPr>
      <w:widowControl w:val="0"/>
      <w:adjustRightInd w:val="0"/>
      <w:spacing w:line="400" w:lineRule="exact"/>
      <w:ind w:left="839"/>
      <w:jc w:val="both"/>
    </w:pPr>
    <w:rPr>
      <w:rFonts w:hAnsi="Calibri" w:cs="Times New Roman"/>
      <w:kern w:val="2"/>
      <w:sz w:val="21"/>
      <w:szCs w:val="21"/>
    </w:rPr>
  </w:style>
  <w:style w:type="paragraph" w:styleId="15">
    <w:name w:val="toc 3"/>
    <w:basedOn w:val="1"/>
    <w:next w:val="1"/>
    <w:autoRedefine/>
    <w:unhideWhenUsed/>
    <w:qFormat/>
    <w:uiPriority w:val="39"/>
    <w:pPr>
      <w:widowControl w:val="0"/>
      <w:adjustRightInd w:val="0"/>
      <w:spacing w:line="300" w:lineRule="exact"/>
      <w:ind w:left="420"/>
      <w:jc w:val="both"/>
    </w:pPr>
    <w:rPr>
      <w:rFonts w:hAnsi="Calibri" w:cs="Times New Roman"/>
      <w:kern w:val="2"/>
      <w:sz w:val="21"/>
      <w:szCs w:val="21"/>
    </w:rPr>
  </w:style>
  <w:style w:type="paragraph" w:styleId="16">
    <w:name w:val="Balloon Text"/>
    <w:basedOn w:val="1"/>
    <w:link w:val="45"/>
    <w:semiHidden/>
    <w:unhideWhenUsed/>
    <w:qFormat/>
    <w:uiPriority w:val="99"/>
    <w:pPr>
      <w:widowControl w:val="0"/>
      <w:adjustRightInd w:val="0"/>
      <w:spacing w:line="400" w:lineRule="exact"/>
      <w:jc w:val="both"/>
    </w:pPr>
    <w:rPr>
      <w:rFonts w:ascii="Calibri" w:hAnsi="Calibri" w:cs="Times New Roman"/>
      <w:kern w:val="2"/>
      <w:sz w:val="18"/>
      <w:szCs w:val="18"/>
    </w:rPr>
  </w:style>
  <w:style w:type="paragraph" w:styleId="17">
    <w:name w:val="footer"/>
    <w:basedOn w:val="1"/>
    <w:link w:val="44"/>
    <w:qFormat/>
    <w:uiPriority w:val="99"/>
    <w:pPr>
      <w:widowControl w:val="0"/>
      <w:tabs>
        <w:tab w:val="center" w:pos="4153"/>
        <w:tab w:val="right" w:pos="8306"/>
      </w:tabs>
      <w:snapToGrid w:val="0"/>
      <w:jc w:val="right"/>
    </w:pPr>
    <w:rPr>
      <w:rFonts w:hAnsi="Calibri" w:cs="Times New Roman"/>
      <w:kern w:val="2"/>
      <w:sz w:val="18"/>
      <w:szCs w:val="18"/>
    </w:rPr>
  </w:style>
  <w:style w:type="paragraph" w:styleId="18">
    <w:name w:val="header"/>
    <w:basedOn w:val="1"/>
    <w:link w:val="43"/>
    <w:qFormat/>
    <w:uiPriority w:val="99"/>
    <w:pPr>
      <w:widowControl w:val="0"/>
      <w:tabs>
        <w:tab w:val="center" w:pos="4153"/>
        <w:tab w:val="right" w:pos="8306"/>
      </w:tabs>
      <w:snapToGrid w:val="0"/>
      <w:spacing w:line="400" w:lineRule="exact"/>
      <w:jc w:val="center"/>
    </w:pPr>
    <w:rPr>
      <w:rFonts w:ascii="Calibri" w:hAnsi="Calibri" w:cs="Times New Roman"/>
      <w:kern w:val="2"/>
      <w:sz w:val="18"/>
      <w:szCs w:val="18"/>
    </w:rPr>
  </w:style>
  <w:style w:type="paragraph" w:styleId="19">
    <w:name w:val="toc 1"/>
    <w:basedOn w:val="1"/>
    <w:next w:val="1"/>
    <w:autoRedefine/>
    <w:unhideWhenUsed/>
    <w:qFormat/>
    <w:uiPriority w:val="39"/>
    <w:pPr>
      <w:widowControl w:val="0"/>
      <w:adjustRightInd w:val="0"/>
      <w:spacing w:line="400" w:lineRule="exact"/>
      <w:jc w:val="both"/>
    </w:pPr>
    <w:rPr>
      <w:rFonts w:hAnsi="Calibri" w:cs="Times New Roman"/>
      <w:kern w:val="2"/>
      <w:sz w:val="21"/>
      <w:szCs w:val="21"/>
    </w:rPr>
  </w:style>
  <w:style w:type="paragraph" w:styleId="20">
    <w:name w:val="toc 4"/>
    <w:basedOn w:val="1"/>
    <w:next w:val="1"/>
    <w:autoRedefine/>
    <w:unhideWhenUsed/>
    <w:qFormat/>
    <w:uiPriority w:val="39"/>
    <w:pPr>
      <w:widowControl w:val="0"/>
      <w:tabs>
        <w:tab w:val="right" w:leader="dot" w:pos="9344"/>
      </w:tabs>
      <w:adjustRightInd w:val="0"/>
      <w:spacing w:line="300" w:lineRule="exact"/>
      <w:ind w:left="629"/>
      <w:jc w:val="both"/>
    </w:pPr>
    <w:rPr>
      <w:rFonts w:hAnsi="Calibri" w:cs="Times New Roman"/>
      <w:kern w:val="2"/>
      <w:sz w:val="21"/>
      <w:szCs w:val="21"/>
    </w:rPr>
  </w:style>
  <w:style w:type="paragraph" w:styleId="21">
    <w:name w:val="footnote text"/>
    <w:basedOn w:val="1"/>
    <w:next w:val="1"/>
    <w:link w:val="99"/>
    <w:semiHidden/>
    <w:qFormat/>
    <w:uiPriority w:val="0"/>
    <w:pPr>
      <w:widowControl w:val="0"/>
      <w:snapToGrid w:val="0"/>
      <w:spacing w:line="300" w:lineRule="exact"/>
      <w:ind w:left="400" w:leftChars="200" w:hanging="200" w:hangingChars="200"/>
    </w:pPr>
    <w:rPr>
      <w:rFonts w:hAnsi="Calibri" w:cs="Times New Roman"/>
      <w:kern w:val="2"/>
      <w:sz w:val="18"/>
      <w:szCs w:val="18"/>
    </w:rPr>
  </w:style>
  <w:style w:type="paragraph" w:styleId="22">
    <w:name w:val="toc 6"/>
    <w:basedOn w:val="1"/>
    <w:next w:val="1"/>
    <w:autoRedefine/>
    <w:unhideWhenUsed/>
    <w:qFormat/>
    <w:uiPriority w:val="39"/>
    <w:pPr>
      <w:widowControl w:val="0"/>
      <w:adjustRightInd w:val="0"/>
      <w:spacing w:line="300" w:lineRule="exact"/>
      <w:ind w:left="1049"/>
      <w:jc w:val="both"/>
    </w:pPr>
    <w:rPr>
      <w:rFonts w:hAnsi="Calibri" w:cs="Times New Roman"/>
      <w:kern w:val="2"/>
      <w:sz w:val="21"/>
      <w:szCs w:val="21"/>
    </w:rPr>
  </w:style>
  <w:style w:type="paragraph" w:styleId="23">
    <w:name w:val="table of figures"/>
    <w:basedOn w:val="1"/>
    <w:next w:val="1"/>
    <w:semiHidden/>
    <w:qFormat/>
    <w:uiPriority w:val="0"/>
    <w:pPr>
      <w:widowControl w:val="0"/>
    </w:pPr>
    <w:rPr>
      <w:rFonts w:ascii="Calibri" w:hAnsi="Calibri" w:cs="Times New Roman"/>
      <w:kern w:val="2"/>
      <w:sz w:val="21"/>
    </w:rPr>
  </w:style>
  <w:style w:type="paragraph" w:styleId="24">
    <w:name w:val="toc 2"/>
    <w:basedOn w:val="1"/>
    <w:next w:val="1"/>
    <w:autoRedefine/>
    <w:unhideWhenUsed/>
    <w:qFormat/>
    <w:uiPriority w:val="39"/>
    <w:pPr>
      <w:widowControl w:val="0"/>
      <w:tabs>
        <w:tab w:val="right" w:leader="dot" w:pos="9344"/>
      </w:tabs>
      <w:adjustRightInd w:val="0"/>
      <w:spacing w:line="300" w:lineRule="exact"/>
      <w:ind w:left="210"/>
      <w:jc w:val="both"/>
    </w:pPr>
    <w:rPr>
      <w:rFonts w:hAnsi="Calibri" w:cs="Times New Roman"/>
      <w:kern w:val="2"/>
      <w:sz w:val="21"/>
      <w:szCs w:val="21"/>
    </w:rPr>
  </w:style>
  <w:style w:type="paragraph" w:styleId="25">
    <w:name w:val="Title"/>
    <w:basedOn w:val="1"/>
    <w:link w:val="48"/>
    <w:qFormat/>
    <w:uiPriority w:val="0"/>
    <w:pPr>
      <w:widowControl w:val="0"/>
      <w:adjustRightInd w:val="0"/>
      <w:spacing w:before="240" w:after="60" w:line="400" w:lineRule="exact"/>
      <w:jc w:val="center"/>
      <w:outlineLvl w:val="0"/>
    </w:pPr>
    <w:rPr>
      <w:rFonts w:ascii="Arial" w:hAnsi="Arial" w:cs="Arial"/>
      <w:b/>
      <w:bCs/>
      <w:kern w:val="2"/>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rFonts w:ascii="Times New Roman" w:hAnsi="Times New Roman" w:eastAsia="宋体" w:cs="Times New Roman"/>
      <w:b/>
      <w:bCs/>
      <w:kern w:val="44"/>
      <w:sz w:val="44"/>
      <w:szCs w:val="44"/>
    </w:rPr>
  </w:style>
  <w:style w:type="character" w:customStyle="1" w:styleId="35">
    <w:name w:val="标题 2 字符"/>
    <w:link w:val="3"/>
    <w:qFormat/>
    <w:uiPriority w:val="0"/>
    <w:rPr>
      <w:rFonts w:ascii="Arial" w:hAnsi="Arial" w:eastAsia="黑体" w:cs="Times New Roman"/>
      <w:b/>
      <w:bCs/>
      <w:sz w:val="32"/>
      <w:szCs w:val="32"/>
    </w:rPr>
  </w:style>
  <w:style w:type="character" w:customStyle="1" w:styleId="36">
    <w:name w:val="标题 3 字符"/>
    <w:link w:val="4"/>
    <w:qFormat/>
    <w:uiPriority w:val="0"/>
    <w:rPr>
      <w:rFonts w:ascii="Times New Roman" w:hAnsi="Times New Roman" w:eastAsia="宋体" w:cs="Times New Roman"/>
      <w:b/>
      <w:bCs/>
      <w:sz w:val="32"/>
      <w:szCs w:val="32"/>
    </w:rPr>
  </w:style>
  <w:style w:type="character" w:customStyle="1" w:styleId="37">
    <w:name w:val="标题 4 字符"/>
    <w:link w:val="5"/>
    <w:qFormat/>
    <w:uiPriority w:val="0"/>
    <w:rPr>
      <w:rFonts w:ascii="Arial" w:hAnsi="Arial" w:eastAsia="黑体" w:cs="Times New Roman"/>
      <w:b/>
      <w:bCs/>
      <w:sz w:val="28"/>
      <w:szCs w:val="28"/>
    </w:rPr>
  </w:style>
  <w:style w:type="character" w:customStyle="1" w:styleId="38">
    <w:name w:val="标题 5 字符"/>
    <w:link w:val="6"/>
    <w:qFormat/>
    <w:uiPriority w:val="0"/>
    <w:rPr>
      <w:rFonts w:ascii="Times New Roman" w:hAnsi="Times New Roman" w:eastAsia="宋体" w:cs="Times New Roman"/>
      <w:b/>
      <w:bCs/>
      <w:sz w:val="28"/>
      <w:szCs w:val="28"/>
    </w:rPr>
  </w:style>
  <w:style w:type="character" w:customStyle="1" w:styleId="39">
    <w:name w:val="标题 6 字符"/>
    <w:link w:val="7"/>
    <w:qFormat/>
    <w:uiPriority w:val="0"/>
    <w:rPr>
      <w:rFonts w:ascii="Arial" w:hAnsi="Arial" w:eastAsia="黑体" w:cs="Times New Roman"/>
      <w:b/>
      <w:bCs/>
      <w:sz w:val="24"/>
      <w:szCs w:val="24"/>
    </w:rPr>
  </w:style>
  <w:style w:type="character" w:customStyle="1" w:styleId="40">
    <w:name w:val="标题 7 字符"/>
    <w:link w:val="8"/>
    <w:qFormat/>
    <w:uiPriority w:val="0"/>
    <w:rPr>
      <w:rFonts w:ascii="Times New Roman" w:hAnsi="Times New Roman" w:eastAsia="宋体" w:cs="Times New Roman"/>
      <w:b/>
      <w:bCs/>
      <w:sz w:val="24"/>
      <w:szCs w:val="24"/>
    </w:rPr>
  </w:style>
  <w:style w:type="character" w:customStyle="1" w:styleId="41">
    <w:name w:val="标题 8 字符"/>
    <w:link w:val="9"/>
    <w:qFormat/>
    <w:uiPriority w:val="0"/>
    <w:rPr>
      <w:rFonts w:ascii="Arial" w:hAnsi="Arial" w:eastAsia="黑体" w:cs="Times New Roman"/>
      <w:sz w:val="24"/>
      <w:szCs w:val="24"/>
    </w:rPr>
  </w:style>
  <w:style w:type="character" w:customStyle="1" w:styleId="42">
    <w:name w:val="标题 9 字符"/>
    <w:link w:val="10"/>
    <w:qFormat/>
    <w:uiPriority w:val="0"/>
    <w:rPr>
      <w:rFonts w:ascii="Arial" w:hAnsi="Arial" w:eastAsia="黑体" w:cs="Times New Roman"/>
      <w:szCs w:val="21"/>
    </w:rPr>
  </w:style>
  <w:style w:type="character" w:customStyle="1" w:styleId="43">
    <w:name w:val="页眉 字符"/>
    <w:link w:val="18"/>
    <w:qFormat/>
    <w:uiPriority w:val="99"/>
    <w:rPr>
      <w:rFonts w:ascii="Times New Roman" w:hAnsi="Times New Roman" w:eastAsia="宋体" w:cs="Times New Roman"/>
      <w:sz w:val="18"/>
      <w:szCs w:val="18"/>
    </w:rPr>
  </w:style>
  <w:style w:type="character" w:customStyle="1" w:styleId="44">
    <w:name w:val="页脚 字符"/>
    <w:link w:val="17"/>
    <w:qFormat/>
    <w:uiPriority w:val="99"/>
    <w:rPr>
      <w:rFonts w:ascii="宋体" w:hAnsi="Times New Roman" w:eastAsia="宋体" w:cs="Times New Roman"/>
      <w:sz w:val="18"/>
      <w:szCs w:val="18"/>
    </w:rPr>
  </w:style>
  <w:style w:type="character" w:customStyle="1" w:styleId="45">
    <w:name w:val="批注框文本 字符"/>
    <w:link w:val="16"/>
    <w:semiHidden/>
    <w:qFormat/>
    <w:uiPriority w:val="99"/>
    <w:rPr>
      <w:sz w:val="18"/>
      <w:szCs w:val="18"/>
    </w:rPr>
  </w:style>
  <w:style w:type="paragraph" w:styleId="46">
    <w:name w:val="Quote"/>
    <w:basedOn w:val="1"/>
    <w:next w:val="1"/>
    <w:link w:val="47"/>
    <w:qFormat/>
    <w:uiPriority w:val="29"/>
    <w:pPr>
      <w:widowControl w:val="0"/>
      <w:adjustRightInd w:val="0"/>
      <w:spacing w:line="400" w:lineRule="exact"/>
      <w:jc w:val="both"/>
    </w:pPr>
    <w:rPr>
      <w:rFonts w:ascii="Calibri" w:hAnsi="Calibri" w:cs="Times New Roman"/>
      <w:i/>
      <w:iCs/>
      <w:color w:val="000000"/>
      <w:kern w:val="2"/>
      <w:sz w:val="21"/>
      <w:szCs w:val="21"/>
    </w:rPr>
  </w:style>
  <w:style w:type="character" w:customStyle="1" w:styleId="47">
    <w:name w:val="引用 字符"/>
    <w:link w:val="46"/>
    <w:qFormat/>
    <w:uiPriority w:val="29"/>
    <w:rPr>
      <w:i/>
      <w:iCs/>
      <w:color w:val="000000"/>
    </w:rPr>
  </w:style>
  <w:style w:type="character" w:customStyle="1" w:styleId="48">
    <w:name w:val="标题 字符"/>
    <w:link w:val="25"/>
    <w:qFormat/>
    <w:uiPriority w:val="0"/>
    <w:rPr>
      <w:rFonts w:ascii="Arial" w:hAnsi="Arial" w:eastAsia="宋体" w:cs="Arial"/>
      <w:b/>
      <w:bCs/>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widowControl w:val="0"/>
      <w:adjustRightInd w:val="0"/>
      <w:spacing w:line="0" w:lineRule="atLeast"/>
      <w:jc w:val="both"/>
    </w:pPr>
    <w:rPr>
      <w:rFonts w:ascii="黑体" w:eastAsia="黑体" w:cs="Times New Roman"/>
      <w:kern w:val="2"/>
      <w:sz w:val="21"/>
      <w:szCs w:val="21"/>
    </w:rPr>
  </w:style>
  <w:style w:type="paragraph" w:customStyle="1" w:styleId="55">
    <w:name w:val="标准文件_标准正文"/>
    <w:basedOn w:val="1"/>
    <w:next w:val="56"/>
    <w:qFormat/>
    <w:uiPriority w:val="0"/>
    <w:pPr>
      <w:widowControl w:val="0"/>
      <w:adjustRightInd w:val="0"/>
      <w:snapToGrid w:val="0"/>
      <w:spacing w:line="400" w:lineRule="exact"/>
      <w:ind w:firstLine="200" w:firstLineChars="200"/>
      <w:jc w:val="both"/>
    </w:pPr>
    <w:rPr>
      <w:rFonts w:ascii="Calibri" w:hAnsi="Calibri" w:cs="Times New Roman"/>
      <w:sz w:val="21"/>
      <w:szCs w:val="21"/>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widowControl w:val="0"/>
      <w:adjustRightInd w:val="0"/>
      <w:spacing w:line="400" w:lineRule="exact"/>
      <w:jc w:val="center"/>
    </w:pPr>
    <w:rPr>
      <w:rFonts w:ascii="黑体" w:hAnsi="Calibri" w:eastAsia="黑体" w:cs="Times New Roman"/>
      <w:sz w:val="44"/>
      <w:szCs w:val="21"/>
    </w:rPr>
  </w:style>
  <w:style w:type="paragraph" w:customStyle="1" w:styleId="59">
    <w:name w:val="标准文件_标准代替"/>
    <w:basedOn w:val="1"/>
    <w:next w:val="1"/>
    <w:qFormat/>
    <w:uiPriority w:val="0"/>
    <w:pPr>
      <w:widowControl w:val="0"/>
      <w:adjustRightInd w:val="0"/>
      <w:spacing w:line="310" w:lineRule="exact"/>
      <w:jc w:val="right"/>
    </w:pPr>
    <w:rPr>
      <w:rFonts w:cs="Times New Roman"/>
      <w:sz w:val="21"/>
      <w:szCs w:val="21"/>
    </w:rPr>
  </w:style>
  <w:style w:type="paragraph" w:customStyle="1" w:styleId="60">
    <w:name w:val="标准文件_标准名称标题"/>
    <w:basedOn w:val="1"/>
    <w:next w:val="1"/>
    <w:qFormat/>
    <w:uiPriority w:val="0"/>
    <w:pPr>
      <w:shd w:val="clear" w:color="FFFFFF" w:fill="FFFFFF"/>
      <w:spacing w:before="640" w:after="100" w:line="400" w:lineRule="exact"/>
      <w:jc w:val="center"/>
    </w:pPr>
    <w:rPr>
      <w:rFonts w:ascii="黑体" w:hAnsi="Calibri" w:eastAsia="黑体" w:cs="Times New Roman"/>
      <w:sz w:val="32"/>
      <w:szCs w:val="21"/>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shd w:val="clear" w:color="FFFFFF" w:fill="FFFFFF"/>
      <w:spacing w:before="40" w:beforeLines="40" w:after="50" w:afterLines="50"/>
      <w:jc w:val="center"/>
      <w:outlineLvl w:val="0"/>
    </w:pPr>
    <w:rPr>
      <w:rFonts w:ascii="黑体" w:hAnsi="Calibri" w:eastAsia="黑体" w:cs="Times New Roman"/>
      <w:sz w:val="21"/>
      <w:szCs w:val="21"/>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widowControl w:val="0"/>
      <w:adjustRightInd w:val="0"/>
      <w:spacing w:line="310" w:lineRule="exact"/>
      <w:jc w:val="right"/>
    </w:pPr>
    <w:rPr>
      <w:rFonts w:ascii="黑体" w:hAnsi="Calibri" w:eastAsia="黑体" w:cs="Times New Roman"/>
      <w:sz w:val="28"/>
      <w:szCs w:val="21"/>
    </w:rPr>
  </w:style>
  <w:style w:type="paragraph" w:customStyle="1" w:styleId="69">
    <w:name w:val="标准文件_封面标准分类号"/>
    <w:basedOn w:val="1"/>
    <w:qFormat/>
    <w:uiPriority w:val="0"/>
    <w:pPr>
      <w:widowControl w:val="0"/>
      <w:adjustRightInd w:val="0"/>
      <w:spacing w:line="400" w:lineRule="exact"/>
      <w:jc w:val="both"/>
    </w:pPr>
    <w:rPr>
      <w:rFonts w:ascii="黑体" w:hAnsi="Calibri" w:eastAsia="黑体" w:cs="Times New Roman"/>
      <w:b/>
      <w:sz w:val="28"/>
      <w:szCs w:val="21"/>
    </w:rPr>
  </w:style>
  <w:style w:type="paragraph" w:customStyle="1" w:styleId="70">
    <w:name w:val="标准文件_封面标准名称"/>
    <w:basedOn w:val="1"/>
    <w:qFormat/>
    <w:uiPriority w:val="0"/>
    <w:pPr>
      <w:widowControl w:val="0"/>
      <w:adjustRightInd w:val="0"/>
      <w:jc w:val="center"/>
    </w:pPr>
    <w:rPr>
      <w:rFonts w:ascii="黑体" w:hAnsi="Calibri" w:eastAsia="黑体" w:cs="Times New Roman"/>
      <w:sz w:val="52"/>
      <w:szCs w:val="21"/>
    </w:rPr>
  </w:style>
  <w:style w:type="paragraph" w:customStyle="1" w:styleId="71">
    <w:name w:val="标准文件_封面标准英文名称"/>
    <w:basedOn w:val="1"/>
    <w:qFormat/>
    <w:uiPriority w:val="0"/>
    <w:pPr>
      <w:widowControl w:val="0"/>
      <w:adjustRightInd w:val="0"/>
      <w:jc w:val="center"/>
    </w:pPr>
    <w:rPr>
      <w:rFonts w:ascii="黑体" w:hAnsi="Calibri" w:eastAsia="黑体" w:cs="Times New Roman"/>
      <w:b/>
      <w:kern w:val="2"/>
      <w:sz w:val="28"/>
      <w:szCs w:val="21"/>
    </w:rPr>
  </w:style>
  <w:style w:type="paragraph" w:customStyle="1" w:styleId="72">
    <w:name w:val="标准文件_封面发布日期"/>
    <w:basedOn w:val="1"/>
    <w:qFormat/>
    <w:uiPriority w:val="0"/>
    <w:pPr>
      <w:widowControl w:val="0"/>
      <w:adjustRightInd w:val="0"/>
      <w:spacing w:line="310" w:lineRule="exact"/>
      <w:jc w:val="both"/>
    </w:pPr>
    <w:rPr>
      <w:rFonts w:ascii="黑体" w:hAnsi="Calibri" w:eastAsia="黑体" w:cs="Times New Roman"/>
      <w:sz w:val="28"/>
      <w:szCs w:val="21"/>
    </w:rPr>
  </w:style>
  <w:style w:type="paragraph" w:customStyle="1" w:styleId="73">
    <w:name w:val="标准文件_封面密级"/>
    <w:basedOn w:val="1"/>
    <w:qFormat/>
    <w:uiPriority w:val="0"/>
    <w:pPr>
      <w:widowControl w:val="0"/>
      <w:adjustRightInd w:val="0"/>
      <w:spacing w:line="400" w:lineRule="exact"/>
      <w:jc w:val="both"/>
    </w:pPr>
    <w:rPr>
      <w:rFonts w:ascii="Calibri" w:hAnsi="Calibri" w:eastAsia="黑体" w:cs="Times New Roman"/>
      <w:kern w:val="2"/>
      <w:sz w:val="32"/>
      <w:szCs w:val="21"/>
    </w:rPr>
  </w:style>
  <w:style w:type="paragraph" w:customStyle="1" w:styleId="74">
    <w:name w:val="标准文件_封面实施日期"/>
    <w:basedOn w:val="1"/>
    <w:qFormat/>
    <w:uiPriority w:val="0"/>
    <w:pPr>
      <w:widowControl w:val="0"/>
      <w:adjustRightInd w:val="0"/>
      <w:spacing w:line="310" w:lineRule="exact"/>
      <w:jc w:val="right"/>
    </w:pPr>
    <w:rPr>
      <w:rFonts w:ascii="黑体" w:hAnsi="Calibri" w:eastAsia="黑体" w:cs="Times New Roman"/>
      <w:kern w:val="2"/>
      <w:sz w:val="28"/>
      <w:szCs w:val="21"/>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rFonts w:ascii="Times New Roman" w:hAnsi="Times New Roman" w:eastAsia="宋体" w:cs="Times New Roman"/>
      <w:szCs w:val="20"/>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uiPriority w:val="0"/>
    <w:pPr>
      <w:spacing w:line="460" w:lineRule="exact"/>
    </w:pPr>
  </w:style>
  <w:style w:type="paragraph" w:customStyle="1" w:styleId="91">
    <w:name w:val="标准文件_目录标题"/>
    <w:basedOn w:val="1"/>
    <w:qFormat/>
    <w:uiPriority w:val="0"/>
    <w:pPr>
      <w:widowControl w:val="0"/>
      <w:adjustRightInd w:val="0"/>
      <w:spacing w:after="150" w:afterLines="150"/>
      <w:jc w:val="center"/>
    </w:pPr>
    <w:rPr>
      <w:rFonts w:ascii="黑体" w:hAnsi="Calibri" w:eastAsia="黑体" w:cs="Times New Roman"/>
      <w:kern w:val="2"/>
      <w:sz w:val="32"/>
      <w:szCs w:val="21"/>
    </w:rPr>
  </w:style>
  <w:style w:type="paragraph" w:customStyle="1" w:styleId="92">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ind w:left="0" w:firstLine="200"/>
    </w:pPr>
  </w:style>
  <w:style w:type="paragraph" w:customStyle="1" w:styleId="94">
    <w:name w:val="标准文件_三级条标题"/>
    <w:basedOn w:val="65"/>
    <w:next w:val="56"/>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uiPriority w:val="0"/>
    <w:pPr>
      <w:widowControl w:val="0"/>
      <w:ind w:firstLine="200" w:firstLineChars="200"/>
      <w:jc w:val="both"/>
    </w:pPr>
    <w:rPr>
      <w:rFonts w:ascii="Calibri" w:hAnsi="Calibri" w:cs="Times New Roman"/>
      <w:kern w:val="2"/>
      <w:sz w:val="18"/>
    </w:rPr>
  </w:style>
  <w:style w:type="paragraph" w:customStyle="1" w:styleId="97">
    <w:name w:val="标准文件_数字编号列项"/>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hAnsi="Times New Roman" w:eastAsia="宋体" w:cs="Times New Roman"/>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widowControl w:val="0"/>
      <w:numPr>
        <w:ilvl w:val="0"/>
        <w:numId w:val="12"/>
      </w:numPr>
      <w:adjustRightInd w:val="0"/>
    </w:pPr>
    <w:rPr>
      <w:rFonts w:cs="Times New Roman"/>
      <w:kern w:val="2"/>
      <w:sz w:val="18"/>
      <w:szCs w:val="21"/>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uiPriority w:val="0"/>
    <w:pPr>
      <w:numPr>
        <w:ilvl w:val="2"/>
      </w:numPr>
      <w:spacing w:before="50" w:beforeLines="50" w:after="50" w:afterLines="50"/>
      <w:outlineLvl w:val="1"/>
    </w:pPr>
  </w:style>
  <w:style w:type="paragraph" w:customStyle="1" w:styleId="106">
    <w:name w:val="标准文件_一致程度"/>
    <w:basedOn w:val="1"/>
    <w:qFormat/>
    <w:uiPriority w:val="0"/>
    <w:pPr>
      <w:widowControl w:val="0"/>
      <w:adjustRightInd w:val="0"/>
      <w:spacing w:line="440" w:lineRule="exact"/>
      <w:jc w:val="center"/>
    </w:pPr>
    <w:rPr>
      <w:rFonts w:ascii="Calibri" w:hAnsi="Calibri" w:cs="Times New Roman"/>
      <w:kern w:val="2"/>
      <w:sz w:val="28"/>
      <w:szCs w:val="21"/>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uiPriority w:val="0"/>
    <w:pPr>
      <w:widowControl w:val="0"/>
      <w:numPr>
        <w:ilvl w:val="0"/>
        <w:numId w:val="14"/>
      </w:numPr>
      <w:tabs>
        <w:tab w:val="left" w:pos="420"/>
      </w:tabs>
      <w:autoSpaceDE w:val="0"/>
      <w:autoSpaceDN w:val="0"/>
      <w:adjustRightInd w:val="0"/>
      <w:jc w:val="both"/>
    </w:pPr>
    <w:rPr>
      <w:rFonts w:cs="Times New Roman"/>
      <w:sz w:val="18"/>
      <w:szCs w:val="20"/>
    </w:rPr>
  </w:style>
  <w:style w:type="paragraph" w:customStyle="1" w:styleId="111">
    <w:name w:val="标准文件_英文注×："/>
    <w:basedOn w:val="1"/>
    <w:qFormat/>
    <w:uiPriority w:val="0"/>
    <w:pPr>
      <w:widowControl w:val="0"/>
      <w:numPr>
        <w:ilvl w:val="0"/>
        <w:numId w:val="15"/>
      </w:numPr>
      <w:tabs>
        <w:tab w:val="left" w:pos="210"/>
      </w:tabs>
      <w:autoSpaceDE w:val="0"/>
      <w:autoSpaceDN w:val="0"/>
      <w:adjustRightInd w:val="0"/>
      <w:jc w:val="both"/>
    </w:pPr>
    <w:rPr>
      <w:rFonts w:cs="Times New Roman"/>
      <w:sz w:val="21"/>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widowControl w:val="0"/>
      <w:tabs>
        <w:tab w:val="center" w:pos="4678"/>
        <w:tab w:val="right" w:leader="middleDot" w:pos="9356"/>
      </w:tabs>
      <w:adjustRightInd w:val="0"/>
      <w:jc w:val="both"/>
    </w:pPr>
    <w:rPr>
      <w:rFonts w:cs="Times New Roman"/>
      <w:kern w:val="2"/>
      <w:sz w:val="21"/>
      <w:szCs w:val="21"/>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widowControl w:val="0"/>
      <w:numPr>
        <w:ilvl w:val="3"/>
        <w:numId w:val="20"/>
      </w:numPr>
      <w:jc w:val="both"/>
    </w:pPr>
    <w:rPr>
      <w:rFonts w:cs="Times New Roman"/>
      <w:kern w:val="2"/>
      <w:sz w:val="21"/>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widowControl w:val="0"/>
      <w:kinsoku w:val="0"/>
      <w:overflowPunct w:val="0"/>
      <w:autoSpaceDE w:val="0"/>
      <w:autoSpaceDN w:val="0"/>
      <w:adjustRightInd w:val="0"/>
      <w:spacing w:before="57" w:line="280" w:lineRule="exact"/>
      <w:jc w:val="right"/>
      <w:textAlignment w:val="center"/>
    </w:pPr>
    <w:rPr>
      <w:rFonts w:hAnsi="Times New Roman" w:cs="Times New Roman"/>
      <w:sz w:val="21"/>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ordWrap w:val="0"/>
      <w:overflowPunct w:val="0"/>
      <w:autoSpaceDE w:val="0"/>
      <w:autoSpaceDN w:val="0"/>
      <w:jc w:val="both"/>
      <w:textAlignment w:val="baseline"/>
      <w:outlineLvl w:val="3"/>
    </w:pPr>
    <w:rPr>
      <w:rFonts w:cs="Times New Roman"/>
      <w:kern w:val="21"/>
      <w:sz w:val="21"/>
      <w:szCs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spacing w:line="400" w:lineRule="exact"/>
      <w:jc w:val="center"/>
    </w:pPr>
    <w:rPr>
      <w:rFonts w:ascii="黑体" w:hAnsi="Calibri" w:eastAsia="黑体" w:cs="Times New Roman"/>
      <w:kern w:val="2"/>
      <w:sz w:val="21"/>
      <w:szCs w:val="21"/>
    </w:rPr>
  </w:style>
  <w:style w:type="paragraph" w:customStyle="1" w:styleId="135">
    <w:name w:val="附录一级无标题条"/>
    <w:basedOn w:val="87"/>
    <w:next w:val="56"/>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qFormat/>
    <w:uiPriority w:val="0"/>
    <w:pPr>
      <w:widowControl w:val="0"/>
    </w:pPr>
    <w:rPr>
      <w:rFonts w:ascii="Calibri" w:hAnsi="Calibri" w:cs="Times New Roman"/>
      <w:bCs/>
      <w:iCs/>
      <w:kern w:val="2"/>
      <w:sz w:val="21"/>
      <w:szCs w:val="21"/>
    </w:rPr>
  </w:style>
  <w:style w:type="paragraph" w:customStyle="1" w:styleId="143">
    <w:name w:val="目录 31"/>
    <w:basedOn w:val="1"/>
    <w:next w:val="1"/>
    <w:autoRedefine/>
    <w:semiHidden/>
    <w:qFormat/>
    <w:uiPriority w:val="0"/>
    <w:pPr>
      <w:widowControl w:val="0"/>
      <w:adjustRightInd w:val="0"/>
      <w:jc w:val="both"/>
    </w:pPr>
    <w:rPr>
      <w:rFonts w:cs="Times New Roman"/>
      <w:iCs/>
      <w:kern w:val="2"/>
      <w:sz w:val="21"/>
      <w:szCs w:val="21"/>
    </w:rPr>
  </w:style>
  <w:style w:type="paragraph" w:customStyle="1" w:styleId="144">
    <w:name w:val="目录 41"/>
    <w:basedOn w:val="1"/>
    <w:next w:val="1"/>
    <w:autoRedefine/>
    <w:semiHidden/>
    <w:qFormat/>
    <w:uiPriority w:val="0"/>
    <w:pPr>
      <w:widowControl w:val="0"/>
    </w:pPr>
    <w:rPr>
      <w:rFonts w:ascii="Calibri" w:hAnsi="Calibri" w:cs="Times New Roman"/>
      <w:kern w:val="2"/>
      <w:sz w:val="21"/>
      <w:szCs w:val="21"/>
    </w:rPr>
  </w:style>
  <w:style w:type="paragraph" w:customStyle="1" w:styleId="145">
    <w:name w:val="目录 51"/>
    <w:basedOn w:val="1"/>
    <w:next w:val="1"/>
    <w:autoRedefine/>
    <w:semiHidden/>
    <w:qFormat/>
    <w:uiPriority w:val="0"/>
    <w:pPr>
      <w:widowControl w:val="0"/>
      <w:adjustRightInd w:val="0"/>
      <w:jc w:val="both"/>
    </w:pPr>
    <w:rPr>
      <w:rFonts w:cs="Times New Roman"/>
      <w:kern w:val="2"/>
      <w:sz w:val="21"/>
      <w:szCs w:val="21"/>
    </w:rPr>
  </w:style>
  <w:style w:type="paragraph" w:customStyle="1" w:styleId="146">
    <w:name w:val="目录 61"/>
    <w:basedOn w:val="1"/>
    <w:next w:val="1"/>
    <w:autoRedefine/>
    <w:semiHidden/>
    <w:qFormat/>
    <w:uiPriority w:val="0"/>
    <w:pPr>
      <w:widowControl w:val="0"/>
    </w:pPr>
    <w:rPr>
      <w:rFonts w:ascii="Calibri" w:hAnsi="Calibri" w:cs="Times New Roman"/>
      <w:kern w:val="2"/>
      <w:sz w:val="21"/>
      <w:szCs w:val="21"/>
    </w:rPr>
  </w:style>
  <w:style w:type="paragraph" w:customStyle="1" w:styleId="147">
    <w:name w:val="目录 71"/>
    <w:basedOn w:val="146"/>
    <w:autoRedefine/>
    <w:semiHidden/>
    <w:qFormat/>
    <w:uiPriority w:val="0"/>
    <w:pPr>
      <w:ind w:left="1260"/>
    </w:pPr>
  </w:style>
  <w:style w:type="paragraph" w:customStyle="1" w:styleId="148">
    <w:name w:val="目录 81"/>
    <w:basedOn w:val="147"/>
    <w:autoRedefine/>
    <w:semiHidden/>
    <w:qFormat/>
    <w:uiPriority w:val="0"/>
    <w:pPr>
      <w:ind w:left="1470"/>
    </w:pPr>
  </w:style>
  <w:style w:type="paragraph" w:customStyle="1" w:styleId="149">
    <w:name w:val="目录 91"/>
    <w:basedOn w:val="148"/>
    <w:autoRedefine/>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widowControl w:val="0"/>
      <w:numPr>
        <w:ilvl w:val="4"/>
        <w:numId w:val="20"/>
      </w:numPr>
      <w:jc w:val="both"/>
    </w:pPr>
    <w:rPr>
      <w:rFonts w:cs="Times New Roman"/>
      <w:kern w:val="2"/>
      <w:sz w:val="21"/>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widowControl w:val="0"/>
      <w:numPr>
        <w:ilvl w:val="5"/>
        <w:numId w:val="20"/>
      </w:numPr>
      <w:jc w:val="both"/>
    </w:pPr>
    <w:rPr>
      <w:rFonts w:cs="Times New Roman"/>
      <w:kern w:val="2"/>
      <w:sz w:val="21"/>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widowControl w:val="0"/>
      <w:numPr>
        <w:ilvl w:val="6"/>
        <w:numId w:val="20"/>
      </w:numPr>
      <w:spacing w:line="400" w:lineRule="exact"/>
      <w:jc w:val="both"/>
    </w:pPr>
    <w:rPr>
      <w:rFonts w:ascii="Calibri" w:hAnsi="Calibri" w:cs="Times New Roman"/>
      <w:kern w:val="2"/>
      <w:sz w:val="21"/>
    </w:rPr>
  </w:style>
  <w:style w:type="paragraph" w:customStyle="1" w:styleId="159">
    <w:name w:val="一级无标题条"/>
    <w:basedOn w:val="1"/>
    <w:qFormat/>
    <w:uiPriority w:val="0"/>
    <w:pPr>
      <w:widowControl w:val="0"/>
      <w:numPr>
        <w:ilvl w:val="2"/>
        <w:numId w:val="20"/>
      </w:numPr>
      <w:spacing w:before="10" w:after="10"/>
      <w:jc w:val="both"/>
    </w:pPr>
    <w:rPr>
      <w:rFonts w:cs="Times New Roman"/>
      <w:kern w:val="2"/>
      <w:sz w:val="21"/>
    </w:rPr>
  </w:style>
  <w:style w:type="paragraph" w:customStyle="1" w:styleId="160">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widowControl w:val="0"/>
      <w:numPr>
        <w:ilvl w:val="2"/>
        <w:numId w:val="21"/>
      </w:numPr>
      <w:adjustRightInd w:val="0"/>
      <w:spacing w:line="536870612" w:lineRule="auto"/>
      <w:jc w:val="both"/>
    </w:pPr>
    <w:rPr>
      <w:rFonts w:ascii="Times New Roman" w:hAnsi="Times New Roman" w:cs="Times New Roman"/>
      <w:kern w:val="2"/>
      <w:sz w:val="21"/>
      <w:szCs w:val="21"/>
    </w:rPr>
  </w:style>
  <w:style w:type="paragraph" w:customStyle="1" w:styleId="173">
    <w:name w:val="图表脚注说明"/>
    <w:basedOn w:val="1"/>
    <w:next w:val="56"/>
    <w:qFormat/>
    <w:uiPriority w:val="0"/>
    <w:pPr>
      <w:widowControl w:val="0"/>
      <w:numPr>
        <w:ilvl w:val="0"/>
        <w:numId w:val="25"/>
      </w:numPr>
      <w:ind w:left="783"/>
      <w:jc w:val="both"/>
    </w:pPr>
    <w:rPr>
      <w:rFonts w:hAnsi="Times New Roman" w:cs="Times New Roman"/>
      <w:kern w:val="2"/>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numPr>
        <w:ilvl w:val="0"/>
        <w:numId w:val="29"/>
      </w:numPr>
      <w:jc w:val="both"/>
    </w:pPr>
    <w:rPr>
      <w:rFonts w:hAnsi="Times New Roman" w:cs="Times New Roman"/>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left="1271" w:hanging="420" w:firstLineChars="0"/>
    </w:pPr>
  </w:style>
  <w:style w:type="paragraph" w:customStyle="1" w:styleId="188">
    <w:name w:val="标准文件_三级项2"/>
    <w:basedOn w:val="56"/>
    <w:qFormat/>
    <w:uiPriority w:val="0"/>
    <w:pPr>
      <w:numPr>
        <w:ilvl w:val="0"/>
        <w:numId w:val="30"/>
      </w:numPr>
      <w:spacing w:line="300" w:lineRule="exact"/>
      <w:ind w:left="1276" w:hanging="425" w:firstLineChars="0"/>
    </w:pPr>
    <w:rPr>
      <w:rFonts w:ascii="Times New Roman"/>
    </w:rPr>
  </w:style>
  <w:style w:type="paragraph" w:customStyle="1" w:styleId="189">
    <w:name w:val="标准文件_一级项2"/>
    <w:basedOn w:val="56"/>
    <w:qFormat/>
    <w:uiPriority w:val="0"/>
    <w:pPr>
      <w:numPr>
        <w:ilvl w:val="0"/>
        <w:numId w:val="31"/>
      </w:numPr>
      <w:spacing w:line="300" w:lineRule="exact"/>
      <w:ind w:left="1271" w:hanging="420"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next w:val="56"/>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glossaryDocument" Target="glossary/document.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84410E44FCD44EEA77BC15C08546B80"/>
        <w:style w:val=""/>
        <w:category>
          <w:name w:val="常规"/>
          <w:gallery w:val="placeholder"/>
        </w:category>
        <w:types>
          <w:type w:val="bbPlcHdr"/>
        </w:types>
        <w:behaviors>
          <w:behavior w:val="content"/>
        </w:behaviors>
        <w:description w:val=""/>
        <w:guid w:val="{7AB149B5-B3EB-4E41-BF2C-CB668DC13DEA}"/>
      </w:docPartPr>
      <w:docPartBody>
        <w:p w14:paraId="70E2FF77">
          <w:pPr>
            <w:pStyle w:val="5"/>
            <w:rPr>
              <w:rFonts w:hint="eastAsia"/>
            </w:rPr>
          </w:pPr>
          <w:r>
            <w:rPr>
              <w:rStyle w:val="4"/>
              <w:rFonts w:hint="eastAsia"/>
            </w:rPr>
            <w:t>单击或点击此处输入文字。</w:t>
          </w:r>
        </w:p>
      </w:docPartBody>
    </w:docPart>
    <w:docPart>
      <w:docPartPr>
        <w:name w:val="26B670E65A314FDBBB3E385B53E0D2E4"/>
        <w:style w:val=""/>
        <w:category>
          <w:name w:val="常规"/>
          <w:gallery w:val="placeholder"/>
        </w:category>
        <w:types>
          <w:type w:val="bbPlcHdr"/>
        </w:types>
        <w:behaviors>
          <w:behavior w:val="content"/>
        </w:behaviors>
        <w:description w:val=""/>
        <w:guid w:val="{0272AB93-61F2-486F-A424-B1DBE847F875}"/>
      </w:docPartPr>
      <w:docPartBody>
        <w:p w14:paraId="5BD2D8F7">
          <w:pPr>
            <w:pStyle w:val="6"/>
            <w:rPr>
              <w:rFonts w:hint="eastAsia"/>
            </w:rPr>
          </w:pPr>
          <w:r>
            <w:rPr>
              <w:rStyle w:val="4"/>
              <w:rFonts w:hint="eastAsia"/>
            </w:rPr>
            <w:t>选择一项。</w:t>
          </w:r>
        </w:p>
      </w:docPartBody>
    </w:docPart>
    <w:docPart>
      <w:docPartPr>
        <w:name w:val="5F50530C98294D48823599ACF740916A"/>
        <w:style w:val=""/>
        <w:category>
          <w:name w:val="常规"/>
          <w:gallery w:val="placeholder"/>
        </w:category>
        <w:types>
          <w:type w:val="bbPlcHdr"/>
        </w:types>
        <w:behaviors>
          <w:behavior w:val="content"/>
        </w:behaviors>
        <w:description w:val=""/>
        <w:guid w:val="{47A0F472-930D-4FA9-B8C4-231668796D47}"/>
      </w:docPartPr>
      <w:docPartBody>
        <w:p w14:paraId="1674344A">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261"/>
    <w:rsid w:val="000842F5"/>
    <w:rsid w:val="000D61CD"/>
    <w:rsid w:val="001333FC"/>
    <w:rsid w:val="001947A0"/>
    <w:rsid w:val="00217FFB"/>
    <w:rsid w:val="002502CC"/>
    <w:rsid w:val="00263C0A"/>
    <w:rsid w:val="003235B5"/>
    <w:rsid w:val="003324D6"/>
    <w:rsid w:val="00360152"/>
    <w:rsid w:val="00382398"/>
    <w:rsid w:val="003C5530"/>
    <w:rsid w:val="00445A6E"/>
    <w:rsid w:val="00497609"/>
    <w:rsid w:val="00521BFF"/>
    <w:rsid w:val="005742CF"/>
    <w:rsid w:val="005C3285"/>
    <w:rsid w:val="005D6F81"/>
    <w:rsid w:val="006127BD"/>
    <w:rsid w:val="00614888"/>
    <w:rsid w:val="00627964"/>
    <w:rsid w:val="006C54FC"/>
    <w:rsid w:val="0071073D"/>
    <w:rsid w:val="00732BB1"/>
    <w:rsid w:val="007B2E69"/>
    <w:rsid w:val="008010FD"/>
    <w:rsid w:val="0087473D"/>
    <w:rsid w:val="00906C60"/>
    <w:rsid w:val="00951D49"/>
    <w:rsid w:val="009853D8"/>
    <w:rsid w:val="009F4F59"/>
    <w:rsid w:val="00A17705"/>
    <w:rsid w:val="00A32AAB"/>
    <w:rsid w:val="00A505B9"/>
    <w:rsid w:val="00A769B0"/>
    <w:rsid w:val="00A90261"/>
    <w:rsid w:val="00AE5CBF"/>
    <w:rsid w:val="00C069B1"/>
    <w:rsid w:val="00C37312"/>
    <w:rsid w:val="00D927E0"/>
    <w:rsid w:val="00D95195"/>
    <w:rsid w:val="00DA265B"/>
    <w:rsid w:val="00DD3B97"/>
    <w:rsid w:val="00E524C1"/>
    <w:rsid w:val="00E536CA"/>
    <w:rsid w:val="00F41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84410E44FCD44EEA77BC15C08546B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6B670E65A314FDBBB3E385B53E0D2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F50530C98294D48823599ACF740916A"/>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9aeb573a-7687-4e66-8122-39668130fd20</errorID>
      <errorWord>(</errorWord>
      <group>L1_Format</group>
      <groupName>格式问题</groupName>
      <ability>L2_HalfPunc</ability>
      <abilityName>全半角检查</abilityName>
      <candidateList>
        <item>（</item>
      </candidateList>
      <explain>文本全半角错误。</explain>
      <paraID>454543FE</paraID>
      <start>109</start>
      <end>110</end>
      <status>unmodified</status>
      <modifiedWord/>
      <trackRevisions>false</trackRevisions>
    </reviewItem>
    <reviewItem>
      <errorID>31ced22f-de4c-42d1-a156-528f18641b7a</errorID>
      <errorWord>)</errorWord>
      <group>L1_Format</group>
      <groupName>格式问题</groupName>
      <ability>L2_HalfPunc</ability>
      <abilityName>全半角检查</abilityName>
      <candidateList>
        <item>）</item>
      </candidateList>
      <explain>文本全半角错误。</explain>
      <paraID>454543FE</paraID>
      <start>112</start>
      <end>113</end>
      <status>unmodified</status>
      <modifiedWord/>
      <trackRevisions>false</trackRevisions>
    </reviewItem>
    <reviewItem>
      <errorID>5b5882a0-b336-4dfc-8de3-a14f0c0b692d</errorID>
      <errorWord>15856.1  十</errorWord>
      <group>L1_Knowledge</group>
      <groupName>知识性问题</groupName>
      <ability>L2_Knowledge</ability>
      <abilityName>其他知识</abilityName>
      <candidateList>
        <item>158561</item>
      </candidateList>
      <explain/>
      <paraID>62596701</paraID>
      <start>5</start>
      <end>15</end>
      <status>unmodified</status>
      <modifiedWord/>
      <trackRevisions>false</trackRevisions>
    </reviewItem>
    <reviewItem>
      <errorID>69d4a6ef-6657-49a7-98cc-6242048d9c7d</errorID>
      <errorWord>15856.2  十</errorWord>
      <group>L1_Knowledge</group>
      <groupName>知识性问题</groupName>
      <ability>L2_Knowledge</ability>
      <abilityName>其他知识</abilityName>
      <candidateList>
        <item>158562</item>
      </candidateList>
      <explain/>
      <paraID>706419BB</paraID>
      <start>5</start>
      <end>15</end>
      <status>unmodified</status>
      <modifiedWord/>
      <trackRevisions>false</trackRevisions>
    </reviewItem>
    <reviewItem>
      <errorID>e8f1d555-e981-4567-8f42-8b45560537c6</errorID>
      <errorWord>15856.3  十</errorWord>
      <group>L1_Knowledge</group>
      <groupName>知识性问题</groupName>
      <ability>L2_Knowledge</ability>
      <abilityName>其他知识</abilityName>
      <candidateList>
        <item>158563</item>
      </candidateList>
      <explain/>
      <paraID>633794AC</paraID>
      <start>5</start>
      <end>15</end>
      <status>unmodified</status>
      <modifiedWord/>
      <trackRevisions>false</trackRevisions>
    </reviewItem>
    <reviewItem>
      <errorID>1e7abda2-edec-4dd3-bded-8ef20304e5d1</errorID>
      <errorWord>,</errorWord>
      <group>L1_Format</group>
      <groupName>格式问题</groupName>
      <ability>L2_HalfPunc</ability>
      <abilityName>全半角检查</abilityName>
      <candidateList>
        <item>，</item>
      </candidateList>
      <explain>文本全半角错误。</explain>
      <paraID>4AEB0355</paraID>
      <start>11</start>
      <end>12</end>
      <status>unmodified</status>
      <modifiedWord/>
      <trackRevisions>false</trackRevisions>
    </reviewItem>
    <reviewItem>
      <errorID>35fd5110-b8fe-4cb1-986e-87e76921b567</errorID>
      <errorWord>标示</errorWord>
      <group>L1_Word</group>
      <groupName>字词问题</groupName>
      <ability>L2_Typo</ability>
      <abilityName>字词错误</abilityName>
      <candidateList>
        <item>标识</item>
      </candidateList>
      <explain>存在发音相同字词的误用。</explain>
      <paraID>3C9F9417</paraID>
      <start>56</start>
      <end>58</end>
      <status>unmodified</status>
      <modifiedWord/>
      <trackRevisions>false</trackRevisions>
    </reviewItem>
    <reviewItem>
      <errorID>0afeb8e2-ae39-46a0-a992-d0fdeb58646a</errorID>
      <errorWord>,</errorWord>
      <group>L1_Format</group>
      <groupName>格式问题</groupName>
      <ability>L2_HalfPunc</ability>
      <abilityName>全半角检查</abilityName>
      <candidateList>
        <item>，</item>
      </candidateList>
      <explain>文本全半角错误。</explain>
      <paraID>1357CBE5</paraID>
      <start>13</start>
      <end>14</end>
      <status>unmodified</status>
      <modifiedWord/>
      <trackRevisions>false</trackRevisions>
    </reviewItem>
    <reviewItem>
      <errorID>04df0109-e724-4d07-b8bb-7057d6730a64</errorID>
      <errorWord>,</errorWord>
      <group>L1_Format</group>
      <groupName>格式问题</groupName>
      <ability>L2_HalfPunc</ability>
      <abilityName>全半角检查</abilityName>
      <candidateList>
        <item>，</item>
      </candidateList>
      <explain>文本全半角错误。</explain>
      <paraID>1357CBE5</paraID>
      <start>49</start>
      <end>50</end>
      <status>unmodified</status>
      <modifiedWord/>
      <trackRevisions>false</trackRevisions>
    </reviewItem>
    <reviewItem>
      <errorID>0021bdb5-8ca3-4128-ad1c-f41279c6f65a</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77E0B931</paraID>
      <start>0</start>
      <end>2</end>
      <status>unmodified</status>
      <modifiedWord/>
      <trackRevisions>false</trackRevisions>
    </reviewItem>
    <reviewItem>
      <errorID>394d405b-7494-487b-be5b-9292e88883a4</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1F5C558D</paraID>
      <start>0</start>
      <end>2</end>
      <status>unmodified</status>
      <modifiedWord/>
      <trackRevisions>false</trackRevisions>
    </reviewItem>
    <reviewItem>
      <errorID>00a05739-8f53-41c3-a9f1-82a7579c5811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E7B66FE</paraID>
      <start>0</start>
      <end>2</end>
      <status>unmodified</status>
      <modifiedWord/>
      <trackRevisions>false</trackRevisions>
    </reviewItem>
    <reviewItem>
      <errorID>678ee77f-ff6e-4728-b645-5138d2f6fd4d</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59DD6ED</paraID>
      <start>0</start>
      <end>2</end>
      <status>unmodified</status>
      <modifiedWord/>
      <trackRevisions>false</trackRevisions>
    </reviewItem>
    <reviewItem>
      <errorID>e4427087-6ddb-4acb-9c27-1d71f413c8c8</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5C5130D6</paraID>
      <start>0</start>
      <end>2</end>
      <status>unmodified</status>
      <modifiedWord/>
      <trackRevisions>false</trackRevisions>
    </reviewItem>
    <reviewItem>
      <errorID>3ba0bd8d-b935-4816-a5bc-603c80164328</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3F411482</paraID>
      <start>0</start>
      <end>2</end>
      <status>unmodified</status>
      <modifiedWord/>
      <trackRevisions>false</trackRevisions>
    </reviewItem>
    <reviewItem>
      <errorID>4f97e55e-3a7c-4dcf-b563-cda90a91f9b4</errorID>
      <errorWord>窜火</errorWord>
      <group>L1_Word</group>
      <groupName>字词问题</groupName>
      <ability>L2_Typo</ability>
      <abilityName>字词错误</abilityName>
      <candidateList>
        <item>蹿火</item>
      </candidateList>
      <explain/>
      <paraID>3F411482</paraID>
      <start>16</start>
      <end>18</end>
      <status>unmodified</status>
      <modifiedWord/>
      <trackRevisions>false</trackRevisions>
    </reviewItem>
    <reviewItem>
      <errorID>359ce839-3245-4fa2-8442-330148d3dca3</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34C9C2CA</paraID>
      <start>0</start>
      <end>2</end>
      <status>unmodified</status>
      <modifiedWord/>
      <trackRevisions>false</trackRevisions>
    </reviewItem>
    <reviewItem>
      <errorID>5363b43d-30d6-4d5a-93b6-b708f6585eaa</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5CA239D4</paraID>
      <start>0</start>
      <end>2</end>
      <status>unmodified</status>
      <modifiedWord/>
      <trackRevisions>false</trackRevisions>
    </reviewItem>
    <reviewItem>
      <errorID>6f78d10d-a7b4-4f31-9ceb-1fbbe44f7dd1</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4EB972E2</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081051-E6ED-40B6-BB35-E97ACAD3735C}">
  <ds:schemaRefs/>
</ds:datastoreItem>
</file>

<file path=customXml/itemProps3.xml><?xml version="1.0" encoding="utf-8"?>
<ds:datastoreItem xmlns:ds="http://schemas.openxmlformats.org/officeDocument/2006/customXml" ds:itemID="{D10FAFDF-425F-491E-9909-7474795FB444}">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12</Pages>
  <Words>3549</Words>
  <Characters>4042</Characters>
  <Lines>52</Lines>
  <Paragraphs>14</Paragraphs>
  <TotalTime>1159</TotalTime>
  <ScaleCrop>false</ScaleCrop>
  <LinksUpToDate>false</LinksUpToDate>
  <CharactersWithSpaces>4408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2026-04-09T10:57:00Z</dcterms:created>
  <dc:creator>Pallmall</dc:creator>
  <dc:description>&lt;config cover="true" show_menu="true" version="1.0.0" doctype="SDKXY"&gt;_x000d_
&lt;/config&gt;</dc:description>
  <cp:lastModifiedBy>王晓敏</cp:lastModifiedBy>
  <cp:lastPrinted>2026-04-17T07:28:00Z</cp:lastPrinted>
  <dcterms:modified xsi:type="dcterms:W3CDTF">2026-04-20T01:13:07Z</dcterms:modified>
  <dc:title>团体标准</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eyJoZGlkIjoiMzkxYWZmZmYwYmM0ODJkNmZmOGY1YjdkYjYwOGI2ODciLCJ1c2VySWQiOiIzMTk2MTQ2NzUifQ==</vt:lpwstr>
  </property>
  <property fmtid="{D5CDD505-2E9C-101B-9397-08002B2CF9AE}" pid="15" name="KSOProductBuildVer">
    <vt:lpwstr>2052-12.1.0.25225</vt:lpwstr>
  </property>
  <property fmtid="{D5CDD505-2E9C-101B-9397-08002B2CF9AE}" pid="16" name="ICV">
    <vt:lpwstr>627D56D535E545F897CB7854E484589F_13</vt:lpwstr>
  </property>
</Properties>
</file>