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FD14BAA" w14:textId="77777777" w:rsidTr="00215ADD">
        <w:tc>
          <w:tcPr>
            <w:tcW w:w="509" w:type="dxa"/>
          </w:tcPr>
          <w:p w14:paraId="56CE0D69"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9E56144" w14:textId="616B1B6E"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A353F">
              <w:rPr>
                <w:rFonts w:ascii="黑体" w:eastAsia="黑体" w:hAnsi="黑体"/>
                <w:sz w:val="21"/>
                <w:szCs w:val="21"/>
              </w:rPr>
              <w:t> </w:t>
            </w:r>
            <w:r w:rsidR="008A353F">
              <w:rPr>
                <w:rFonts w:ascii="黑体" w:eastAsia="黑体" w:hAnsi="黑体"/>
                <w:sz w:val="21"/>
                <w:szCs w:val="21"/>
              </w:rPr>
              <w:t> </w:t>
            </w:r>
            <w:r w:rsidR="008A353F">
              <w:rPr>
                <w:rFonts w:ascii="黑体" w:eastAsia="黑体" w:hAnsi="黑体"/>
                <w:sz w:val="21"/>
                <w:szCs w:val="21"/>
              </w:rPr>
              <w:t> </w:t>
            </w:r>
            <w:r w:rsidR="008A353F">
              <w:rPr>
                <w:rFonts w:ascii="黑体" w:eastAsia="黑体" w:hAnsi="黑体"/>
                <w:sz w:val="21"/>
                <w:szCs w:val="21"/>
              </w:rPr>
              <w:t> </w:t>
            </w:r>
            <w:r w:rsidR="008A353F">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4C17A4B1" w14:textId="77777777" w:rsidTr="00215ADD">
        <w:tc>
          <w:tcPr>
            <w:tcW w:w="509" w:type="dxa"/>
          </w:tcPr>
          <w:p w14:paraId="0B508A0F"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61E7477" w14:textId="77777777" w:rsidTr="008A173B">
              <w:trPr>
                <w:trHeight w:hRule="exact" w:val="1021"/>
              </w:trPr>
              <w:tc>
                <w:tcPr>
                  <w:tcW w:w="9242" w:type="dxa"/>
                  <w:vAlign w:val="center"/>
                </w:tcPr>
                <w:p w14:paraId="2BCD1800" w14:textId="546399EA" w:rsidR="000F4050" w:rsidRDefault="000F4050" w:rsidP="00114A9E">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0966E97A"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14:paraId="4215FD0E" w14:textId="0AF63E34" w:rsidR="0000040A" w:rsidRPr="008A353F" w:rsidRDefault="00AE2A69" w:rsidP="008A353F">
      <w:pPr>
        <w:pStyle w:val="affff6"/>
        <w:framePr w:w="9639" w:h="1351" w:hRule="exact" w:hSpace="181" w:vSpace="181" w:wrap="around" w:hAnchor="page" w:x="1370" w:y="2291"/>
        <w:rPr>
          <w:rFonts w:ascii="黑体" w:eastAsia="黑体" w:hAnsi="黑体" w:hint="eastAsia"/>
          <w:b w:val="0"/>
          <w:bCs w:val="0"/>
          <w:w w:val="100"/>
          <w:sz w:val="72"/>
          <w:szCs w:val="72"/>
        </w:rPr>
      </w:pPr>
      <w:bookmarkStart w:id="2" w:name="_Hlk26473981"/>
      <w:r w:rsidRPr="008A353F">
        <w:rPr>
          <w:rFonts w:ascii="黑体" w:eastAsia="黑体" w:hint="eastAsia"/>
          <w:b w:val="0"/>
          <w:w w:val="100"/>
          <w:sz w:val="72"/>
          <w:szCs w:val="72"/>
        </w:rPr>
        <w:t>团体</w:t>
      </w:r>
      <w:r w:rsidR="007B7453" w:rsidRPr="008A353F">
        <w:rPr>
          <w:rFonts w:ascii="黑体" w:eastAsia="黑体" w:hAnsi="黑体" w:hint="eastAsia"/>
          <w:b w:val="0"/>
          <w:bCs w:val="0"/>
          <w:w w:val="100"/>
          <w:sz w:val="72"/>
          <w:szCs w:val="72"/>
        </w:rPr>
        <w:t>标准</w:t>
      </w:r>
    </w:p>
    <w:bookmarkEnd w:id="2"/>
    <w:p w14:paraId="6099EB5C" w14:textId="0B60589D" w:rsidR="00AA456B" w:rsidRPr="00321D17" w:rsidRDefault="00AE2A69" w:rsidP="008A353F">
      <w:pPr>
        <w:pStyle w:val="affffffffff3"/>
        <w:framePr w:wrap="auto" w:x="1430" w:y="3561"/>
        <w:rPr>
          <w:lang w:val="fr-FR"/>
        </w:rPr>
      </w:pPr>
      <w:r w:rsidRPr="00321D17">
        <w:rPr>
          <w:lang w:val="fr-FR"/>
        </w:rPr>
        <w:t>T/</w:t>
      </w:r>
      <w:r w:rsidR="00EB31ED">
        <w:fldChar w:fldCharType="begin">
          <w:ffData>
            <w:name w:val="文字1"/>
            <w:enabled/>
            <w:calcOnExit w:val="0"/>
            <w:textInput>
              <w:default w:val="XXX"/>
            </w:textInput>
          </w:ffData>
        </w:fldChar>
      </w:r>
      <w:bookmarkStart w:id="3" w:name="文字1"/>
      <w:r w:rsidR="00EB31ED" w:rsidRPr="00321D17">
        <w:rPr>
          <w:lang w:val="fr-FR"/>
        </w:rPr>
        <w:instrText xml:space="preserve"> FORMTEXT </w:instrText>
      </w:r>
      <w:r w:rsidR="00EB31ED">
        <w:fldChar w:fldCharType="separate"/>
      </w:r>
      <w:r w:rsidR="00C630CB" w:rsidRPr="00321D17">
        <w:rPr>
          <w:rFonts w:hint="eastAsia"/>
          <w:lang w:val="fr-FR"/>
        </w:rPr>
        <w:t>CFPA</w:t>
      </w:r>
      <w:r w:rsidR="00EB31ED">
        <w:fldChar w:fldCharType="end"/>
      </w:r>
      <w:bookmarkEnd w:id="3"/>
      <w:r w:rsidR="00634D9E" w:rsidRPr="00321D17">
        <w:rPr>
          <w:lang w:val="fr-FR"/>
        </w:rPr>
        <w:t xml:space="preserve"> </w:t>
      </w:r>
      <w:r w:rsidR="00EB31ED">
        <w:fldChar w:fldCharType="begin">
          <w:ffData>
            <w:name w:val="NSTD_CODE_F"/>
            <w:enabled/>
            <w:calcOnExit w:val="0"/>
            <w:textInput>
              <w:default w:val="XXXX"/>
            </w:textInput>
          </w:ffData>
        </w:fldChar>
      </w:r>
      <w:bookmarkStart w:id="4" w:name="NSTD_CODE_F"/>
      <w:r w:rsidR="00EB31ED" w:rsidRPr="00321D17">
        <w:rPr>
          <w:lang w:val="fr-FR"/>
        </w:rPr>
        <w:instrText xml:space="preserve"> FORMTEXT </w:instrText>
      </w:r>
      <w:r w:rsidR="00EB31ED">
        <w:fldChar w:fldCharType="separate"/>
      </w:r>
      <w:r w:rsidR="00EB31ED" w:rsidRPr="00321D17">
        <w:rPr>
          <w:lang w:val="fr-FR"/>
        </w:rPr>
        <w:t>XXXX</w:t>
      </w:r>
      <w:r w:rsidR="00EB31ED">
        <w:fldChar w:fldCharType="end"/>
      </w:r>
      <w:bookmarkEnd w:id="4"/>
      <w:r w:rsidR="004644A6" w:rsidRPr="00321D17">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321D17">
        <w:rPr>
          <w:lang w:val="fr-FR"/>
        </w:rPr>
        <w:instrText xml:space="preserve"> FORMTEXT </w:instrText>
      </w:r>
      <w:r w:rsidR="00087A77">
        <w:fldChar w:fldCharType="separate"/>
      </w:r>
      <w:r w:rsidR="00087A77" w:rsidRPr="00321D17">
        <w:rPr>
          <w:lang w:val="fr-FR"/>
        </w:rPr>
        <w:t>XXXX</w:t>
      </w:r>
      <w:r w:rsidR="00087A77">
        <w:fldChar w:fldCharType="end"/>
      </w:r>
      <w:bookmarkEnd w:id="5"/>
    </w:p>
    <w:p w14:paraId="397C686F"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FDCDC93" wp14:editId="2706AEE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9D10C"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4BF38FF"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6FA8432" w14:textId="2624D443"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573026">
        <w:rPr>
          <w:rFonts w:hint="eastAsia"/>
        </w:rPr>
        <w:t>综合能源站消防安全技术规程</w:t>
      </w:r>
      <w:r>
        <w:fldChar w:fldCharType="end"/>
      </w:r>
      <w:bookmarkEnd w:id="6"/>
    </w:p>
    <w:p w14:paraId="33AE7238" w14:textId="77777777" w:rsidR="00815419" w:rsidRPr="00815419" w:rsidRDefault="00815419" w:rsidP="00324EDD">
      <w:pPr>
        <w:framePr w:w="9639" w:h="6974" w:hRule="exact" w:wrap="around" w:vAnchor="page" w:hAnchor="page" w:x="1419" w:y="6408" w:anchorLock="1"/>
        <w:ind w:left="-1418"/>
      </w:pPr>
    </w:p>
    <w:p w14:paraId="46609214" w14:textId="790BBAC9"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7"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A71776" w:rsidRPr="00A71776">
        <w:rPr>
          <w:rFonts w:eastAsia="黑体" w:hint="eastAsia"/>
          <w:noProof/>
          <w:szCs w:val="28"/>
        </w:rPr>
        <w:t>Technical Regulations for Fire Safety of Comprehensive Energy Stations</w:t>
      </w:r>
      <w:r>
        <w:rPr>
          <w:rFonts w:eastAsia="黑体"/>
          <w:noProof/>
          <w:szCs w:val="28"/>
        </w:rPr>
        <w:fldChar w:fldCharType="end"/>
      </w:r>
      <w:bookmarkEnd w:id="7"/>
    </w:p>
    <w:p w14:paraId="01D0EAE7" w14:textId="77777777" w:rsidR="00815419" w:rsidRPr="00324EDD" w:rsidRDefault="00815419" w:rsidP="00324EDD">
      <w:pPr>
        <w:framePr w:w="9639" w:h="6974" w:hRule="exact" w:wrap="around" w:vAnchor="page" w:hAnchor="page" w:x="1419" w:y="6408" w:anchorLock="1"/>
        <w:spacing w:line="760" w:lineRule="exact"/>
        <w:ind w:left="-1418"/>
      </w:pPr>
    </w:p>
    <w:p w14:paraId="46D0470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F41D0B4" w14:textId="6633A3D4"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8"/>
    </w:p>
    <w:p w14:paraId="5AF06F38" w14:textId="2F61EDD6"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9" w:name="CMPLSH_DATE"/>
      <w:r>
        <w:rPr>
          <w:noProof/>
          <w:sz w:val="21"/>
          <w:szCs w:val="28"/>
        </w:rPr>
        <w:instrText xml:space="preserve"> FORMTEXT </w:instrText>
      </w:r>
      <w:r>
        <w:rPr>
          <w:noProof/>
          <w:sz w:val="21"/>
          <w:szCs w:val="28"/>
        </w:rPr>
      </w:r>
      <w:r>
        <w:rPr>
          <w:noProof/>
          <w:sz w:val="21"/>
          <w:szCs w:val="28"/>
        </w:rPr>
        <w:fldChar w:fldCharType="separate"/>
      </w:r>
      <w:r w:rsidR="00573026">
        <w:rPr>
          <w:noProof/>
          <w:sz w:val="21"/>
          <w:szCs w:val="28"/>
        </w:rPr>
        <w:t> </w:t>
      </w:r>
      <w:r w:rsidR="00573026">
        <w:rPr>
          <w:noProof/>
          <w:sz w:val="21"/>
          <w:szCs w:val="28"/>
        </w:rPr>
        <w:t> </w:t>
      </w:r>
      <w:r w:rsidR="00573026">
        <w:rPr>
          <w:noProof/>
          <w:sz w:val="21"/>
          <w:szCs w:val="28"/>
        </w:rPr>
        <w:t> </w:t>
      </w:r>
      <w:r w:rsidR="00573026">
        <w:rPr>
          <w:noProof/>
          <w:sz w:val="21"/>
          <w:szCs w:val="28"/>
        </w:rPr>
        <w:t> </w:t>
      </w:r>
      <w:r w:rsidR="00573026">
        <w:rPr>
          <w:noProof/>
          <w:sz w:val="21"/>
          <w:szCs w:val="28"/>
        </w:rPr>
        <w:t> </w:t>
      </w:r>
      <w:r>
        <w:rPr>
          <w:noProof/>
          <w:sz w:val="21"/>
          <w:szCs w:val="28"/>
        </w:rPr>
        <w:fldChar w:fldCharType="end"/>
      </w:r>
      <w:bookmarkEnd w:id="9"/>
    </w:p>
    <w:p w14:paraId="54E78B6A" w14:textId="7BAB7008"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0"/>
    </w:p>
    <w:p w14:paraId="51DC33B4" w14:textId="14C57F0C"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573026">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07B8643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47E8A9E8" w14:textId="15C7A13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7"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64710">
        <w:rPr>
          <w:rFonts w:hAnsi="黑体" w:hint="eastAsia"/>
          <w:w w:val="100"/>
          <w:sz w:val="28"/>
        </w:rPr>
        <w:t>中国消防协会</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3CAF7A8"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6706992" wp14:editId="618EF2D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EC1F1"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543C9F6A" w14:textId="77777777" w:rsidR="00DA4296" w:rsidRDefault="00DA4296" w:rsidP="00DA4296">
      <w:pPr>
        <w:pStyle w:val="affffff2"/>
        <w:spacing w:after="360"/>
      </w:pPr>
      <w:bookmarkStart w:id="18" w:name="BookMark1"/>
      <w:r w:rsidRPr="00DA4296">
        <w:rPr>
          <w:rFonts w:hint="eastAsia"/>
          <w:spacing w:val="320"/>
        </w:rPr>
        <w:lastRenderedPageBreak/>
        <w:t>目</w:t>
      </w:r>
      <w:r>
        <w:rPr>
          <w:rFonts w:hint="eastAsia"/>
        </w:rPr>
        <w:t>次</w:t>
      </w:r>
    </w:p>
    <w:p w14:paraId="6A223BB0" w14:textId="13900D9A"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DA4296">
        <w:fldChar w:fldCharType="begin"/>
      </w:r>
      <w:r w:rsidRPr="00DA4296">
        <w:instrText xml:space="preserve"> TOC \o "1-1" \h </w:instrText>
      </w:r>
      <w:r w:rsidRPr="00DA4296">
        <w:fldChar w:fldCharType="separate"/>
      </w:r>
      <w:hyperlink w:anchor="_Toc227678915" w:history="1">
        <w:r w:rsidRPr="00DA4296">
          <w:rPr>
            <w:rStyle w:val="affffffe"/>
            <w:rFonts w:hint="eastAsia"/>
            <w:noProof/>
          </w:rPr>
          <w:t>前言</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_Toc227678915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II</w:t>
        </w:r>
        <w:r w:rsidRPr="00DA4296">
          <w:rPr>
            <w:rFonts w:hint="eastAsia"/>
            <w:noProof/>
          </w:rPr>
          <w:fldChar w:fldCharType="end"/>
        </w:r>
      </w:hyperlink>
    </w:p>
    <w:p w14:paraId="3E58AF5F" w14:textId="2B0F5449"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16" w:history="1">
        <w:r w:rsidRPr="00DA4296">
          <w:rPr>
            <w:rStyle w:val="affffffe"/>
            <w:rFonts w:hint="eastAsia"/>
            <w:noProof/>
          </w:rPr>
          <w:t>1</w:t>
        </w:r>
        <w:r>
          <w:rPr>
            <w:rStyle w:val="affffffe"/>
            <w:noProof/>
          </w:rPr>
          <w:t xml:space="preserve"> </w:t>
        </w:r>
        <w:r w:rsidRPr="00DA4296">
          <w:rPr>
            <w:rStyle w:val="affffffe"/>
            <w:rFonts w:hint="eastAsia"/>
            <w:noProof/>
          </w:rPr>
          <w:t xml:space="preserve"> 范围</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_Toc227678916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1</w:t>
        </w:r>
        <w:r w:rsidRPr="00DA4296">
          <w:rPr>
            <w:rFonts w:hint="eastAsia"/>
            <w:noProof/>
          </w:rPr>
          <w:fldChar w:fldCharType="end"/>
        </w:r>
      </w:hyperlink>
    </w:p>
    <w:p w14:paraId="6B4CA095" w14:textId="55FE4656"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17" w:history="1">
        <w:r w:rsidRPr="00DA4296">
          <w:rPr>
            <w:rStyle w:val="affffffe"/>
            <w:rFonts w:hint="eastAsia"/>
            <w:noProof/>
          </w:rPr>
          <w:t>2</w:t>
        </w:r>
        <w:r>
          <w:rPr>
            <w:rStyle w:val="affffffe"/>
            <w:noProof/>
          </w:rPr>
          <w:t xml:space="preserve"> </w:t>
        </w:r>
        <w:r w:rsidRPr="00DA4296">
          <w:rPr>
            <w:rStyle w:val="affffffe"/>
            <w:rFonts w:hint="eastAsia"/>
            <w:noProof/>
          </w:rPr>
          <w:t xml:space="preserve"> 规范性引用文件</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_Toc227678917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1</w:t>
        </w:r>
        <w:r w:rsidRPr="00DA4296">
          <w:rPr>
            <w:rFonts w:hint="eastAsia"/>
            <w:noProof/>
          </w:rPr>
          <w:fldChar w:fldCharType="end"/>
        </w:r>
      </w:hyperlink>
    </w:p>
    <w:p w14:paraId="75B9627F" w14:textId="48A078ED"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18" w:history="1">
        <w:r w:rsidRPr="00DA4296">
          <w:rPr>
            <w:rStyle w:val="affffffe"/>
            <w:rFonts w:hint="eastAsia"/>
            <w:noProof/>
          </w:rPr>
          <w:t>3</w:t>
        </w:r>
        <w:r>
          <w:rPr>
            <w:rStyle w:val="affffffe"/>
            <w:noProof/>
          </w:rPr>
          <w:t xml:space="preserve"> </w:t>
        </w:r>
        <w:r w:rsidRPr="00DA4296">
          <w:rPr>
            <w:rStyle w:val="affffffe"/>
            <w:rFonts w:hint="eastAsia"/>
            <w:noProof/>
          </w:rPr>
          <w:t xml:space="preserve"> 术语和定义</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_Toc227678918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1</w:t>
        </w:r>
        <w:r w:rsidRPr="00DA4296">
          <w:rPr>
            <w:rFonts w:hint="eastAsia"/>
            <w:noProof/>
          </w:rPr>
          <w:fldChar w:fldCharType="end"/>
        </w:r>
      </w:hyperlink>
    </w:p>
    <w:p w14:paraId="64049167" w14:textId="0EF85621"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19" w:history="1">
        <w:r w:rsidRPr="00DA4296">
          <w:rPr>
            <w:rStyle w:val="affffffe"/>
            <w:rFonts w:hint="eastAsia"/>
            <w:noProof/>
          </w:rPr>
          <w:t>4</w:t>
        </w:r>
        <w:r>
          <w:rPr>
            <w:rStyle w:val="affffffe"/>
            <w:noProof/>
          </w:rPr>
          <w:t xml:space="preserve"> </w:t>
        </w:r>
        <w:r w:rsidRPr="00DA4296">
          <w:rPr>
            <w:rStyle w:val="affffffe"/>
            <w:rFonts w:hint="eastAsia"/>
            <w:noProof/>
          </w:rPr>
          <w:t xml:space="preserve"> 场站布置</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_Toc227678919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1</w:t>
        </w:r>
        <w:r w:rsidRPr="00DA4296">
          <w:rPr>
            <w:rFonts w:hint="eastAsia"/>
            <w:noProof/>
          </w:rPr>
          <w:fldChar w:fldCharType="end"/>
        </w:r>
      </w:hyperlink>
    </w:p>
    <w:p w14:paraId="1E4B1295" w14:textId="6A2C31DC"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20" w:history="1">
        <w:r w:rsidRPr="00DA4296">
          <w:rPr>
            <w:rStyle w:val="affffffe"/>
            <w:rFonts w:hint="eastAsia"/>
            <w:noProof/>
          </w:rPr>
          <w:t>5</w:t>
        </w:r>
        <w:r>
          <w:rPr>
            <w:rStyle w:val="affffffe"/>
            <w:noProof/>
          </w:rPr>
          <w:t xml:space="preserve"> </w:t>
        </w:r>
        <w:r w:rsidRPr="00DA4296">
          <w:rPr>
            <w:rStyle w:val="affffffe"/>
            <w:rFonts w:hint="eastAsia"/>
            <w:noProof/>
          </w:rPr>
          <w:t xml:space="preserve"> 能源设施布置</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_Toc227678920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2</w:t>
        </w:r>
        <w:r w:rsidRPr="00DA4296">
          <w:rPr>
            <w:rFonts w:hint="eastAsia"/>
            <w:noProof/>
          </w:rPr>
          <w:fldChar w:fldCharType="end"/>
        </w:r>
      </w:hyperlink>
    </w:p>
    <w:p w14:paraId="4114A2C3" w14:textId="5CB397B7"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21" w:history="1">
        <w:r w:rsidRPr="00DA4296">
          <w:rPr>
            <w:rStyle w:val="affffffe"/>
            <w:rFonts w:hint="eastAsia"/>
            <w:noProof/>
          </w:rPr>
          <w:t>6</w:t>
        </w:r>
        <w:r>
          <w:rPr>
            <w:rStyle w:val="affffffe"/>
            <w:noProof/>
          </w:rPr>
          <w:t xml:space="preserve"> </w:t>
        </w:r>
        <w:r w:rsidRPr="00DA4296">
          <w:rPr>
            <w:rStyle w:val="affffffe"/>
            <w:rFonts w:hint="eastAsia"/>
            <w:noProof/>
          </w:rPr>
          <w:t xml:space="preserve"> 电气设计</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_Toc227678921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3</w:t>
        </w:r>
        <w:r w:rsidRPr="00DA4296">
          <w:rPr>
            <w:rFonts w:hint="eastAsia"/>
            <w:noProof/>
          </w:rPr>
          <w:fldChar w:fldCharType="end"/>
        </w:r>
      </w:hyperlink>
    </w:p>
    <w:p w14:paraId="4FB4FB5D" w14:textId="27E2E387"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22" w:history="1">
        <w:r w:rsidRPr="00DA4296">
          <w:rPr>
            <w:rStyle w:val="affffffe"/>
            <w:rFonts w:hint="eastAsia"/>
            <w:noProof/>
          </w:rPr>
          <w:t>7</w:t>
        </w:r>
        <w:r>
          <w:rPr>
            <w:rStyle w:val="affffffe"/>
            <w:noProof/>
          </w:rPr>
          <w:t xml:space="preserve"> </w:t>
        </w:r>
        <w:r w:rsidRPr="00DA4296">
          <w:rPr>
            <w:rStyle w:val="affffffe"/>
            <w:rFonts w:hint="eastAsia"/>
            <w:noProof/>
          </w:rPr>
          <w:t xml:space="preserve"> 安全设施设计</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_Toc227678922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3</w:t>
        </w:r>
        <w:r w:rsidRPr="00DA4296">
          <w:rPr>
            <w:rFonts w:hint="eastAsia"/>
            <w:noProof/>
          </w:rPr>
          <w:fldChar w:fldCharType="end"/>
        </w:r>
      </w:hyperlink>
    </w:p>
    <w:p w14:paraId="6D1C0788" w14:textId="04A7A092"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23" w:history="1">
        <w:r w:rsidRPr="00DA4296">
          <w:rPr>
            <w:rStyle w:val="affffffe"/>
            <w:rFonts w:hint="eastAsia"/>
            <w:noProof/>
          </w:rPr>
          <w:t>8</w:t>
        </w:r>
        <w:r>
          <w:rPr>
            <w:rStyle w:val="affffffe"/>
            <w:noProof/>
          </w:rPr>
          <w:t xml:space="preserve"> </w:t>
        </w:r>
        <w:r w:rsidRPr="00DA4296">
          <w:rPr>
            <w:rStyle w:val="affffffe"/>
            <w:rFonts w:hint="eastAsia"/>
            <w:noProof/>
          </w:rPr>
          <w:t xml:space="preserve"> 施工及验收</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_Toc227678923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4</w:t>
        </w:r>
        <w:r w:rsidRPr="00DA4296">
          <w:rPr>
            <w:rFonts w:hint="eastAsia"/>
            <w:noProof/>
          </w:rPr>
          <w:fldChar w:fldCharType="end"/>
        </w:r>
      </w:hyperlink>
    </w:p>
    <w:p w14:paraId="6759EA0F" w14:textId="317730E8" w:rsidR="00DA4296" w:rsidRPr="00DA4296" w:rsidRDefault="00DA429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78924" w:history="1">
        <w:r w:rsidRPr="00DA4296">
          <w:rPr>
            <w:rStyle w:val="affffffe"/>
            <w:rFonts w:hint="eastAsia"/>
            <w:noProof/>
          </w:rPr>
          <w:t>9</w:t>
        </w:r>
        <w:r>
          <w:rPr>
            <w:rStyle w:val="affffffe"/>
            <w:noProof/>
          </w:rPr>
          <w:t xml:space="preserve"> </w:t>
        </w:r>
        <w:r w:rsidRPr="00DA4296">
          <w:rPr>
            <w:rStyle w:val="affffffe"/>
            <w:rFonts w:hint="eastAsia"/>
            <w:noProof/>
          </w:rPr>
          <w:t xml:space="preserve"> 使用维护与应急处置</w:t>
        </w:r>
        <w:r w:rsidRPr="00DA4296">
          <w:rPr>
            <w:rFonts w:hint="eastAsia"/>
            <w:noProof/>
          </w:rPr>
          <w:tab/>
        </w:r>
        <w:r w:rsidRPr="00DA4296">
          <w:rPr>
            <w:rFonts w:hint="eastAsia"/>
            <w:noProof/>
          </w:rPr>
          <w:fldChar w:fldCharType="begin"/>
        </w:r>
        <w:r w:rsidRPr="00DA4296">
          <w:rPr>
            <w:rFonts w:hint="eastAsia"/>
            <w:noProof/>
          </w:rPr>
          <w:instrText xml:space="preserve"> </w:instrText>
        </w:r>
        <w:r w:rsidRPr="00DA4296">
          <w:rPr>
            <w:noProof/>
          </w:rPr>
          <w:instrText>PAGEREF _Toc227678924 \h</w:instrText>
        </w:r>
        <w:r w:rsidRPr="00DA4296">
          <w:rPr>
            <w:rFonts w:hint="eastAsia"/>
            <w:noProof/>
          </w:rPr>
          <w:instrText xml:space="preserve"> </w:instrText>
        </w:r>
        <w:r w:rsidRPr="00DA4296">
          <w:rPr>
            <w:rFonts w:hint="eastAsia"/>
            <w:noProof/>
          </w:rPr>
        </w:r>
        <w:r w:rsidRPr="00DA4296">
          <w:rPr>
            <w:rFonts w:hint="eastAsia"/>
            <w:noProof/>
          </w:rPr>
          <w:fldChar w:fldCharType="separate"/>
        </w:r>
        <w:r w:rsidRPr="00DA4296">
          <w:rPr>
            <w:noProof/>
          </w:rPr>
          <w:t>4</w:t>
        </w:r>
        <w:r w:rsidRPr="00DA4296">
          <w:rPr>
            <w:rFonts w:hint="eastAsia"/>
            <w:noProof/>
          </w:rPr>
          <w:fldChar w:fldCharType="end"/>
        </w:r>
      </w:hyperlink>
    </w:p>
    <w:p w14:paraId="610B5BD9" w14:textId="7F7532D0" w:rsidR="00DA4296" w:rsidRPr="00DA4296" w:rsidRDefault="00DA4296" w:rsidP="00DA4296">
      <w:pPr>
        <w:pStyle w:val="affffff2"/>
        <w:spacing w:after="360"/>
        <w:sectPr w:rsidR="00DA4296" w:rsidRPr="00DA4296" w:rsidSect="002979FD">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DA4296">
        <w:fldChar w:fldCharType="end"/>
      </w:r>
    </w:p>
    <w:p w14:paraId="13ABEF93" w14:textId="77777777" w:rsidR="002979FD" w:rsidRDefault="002979FD" w:rsidP="002979FD">
      <w:pPr>
        <w:pStyle w:val="a6"/>
        <w:spacing w:before="900" w:after="360"/>
      </w:pPr>
      <w:bookmarkStart w:id="19" w:name="_Toc227678915"/>
      <w:bookmarkStart w:id="20" w:name="BookMark2"/>
      <w:bookmarkEnd w:id="18"/>
      <w:r w:rsidRPr="002979FD">
        <w:rPr>
          <w:rFonts w:hint="eastAsia"/>
          <w:spacing w:val="320"/>
        </w:rPr>
        <w:lastRenderedPageBreak/>
        <w:t>前</w:t>
      </w:r>
      <w:r>
        <w:rPr>
          <w:rFonts w:hint="eastAsia"/>
        </w:rPr>
        <w:t>言</w:t>
      </w:r>
      <w:bookmarkEnd w:id="19"/>
    </w:p>
    <w:p w14:paraId="5029805B" w14:textId="77777777" w:rsidR="002979FD" w:rsidRDefault="002979FD" w:rsidP="002979FD">
      <w:pPr>
        <w:pStyle w:val="affffb"/>
        <w:ind w:firstLine="420"/>
      </w:pPr>
      <w:r>
        <w:rPr>
          <w:rFonts w:hint="eastAsia"/>
        </w:rPr>
        <w:t>本文件按照GB/T 1.1—2020《标准化工作导则  第1部分：标准化文件的结构和起草规则》的规定起草。</w:t>
      </w:r>
    </w:p>
    <w:p w14:paraId="754640FE" w14:textId="77777777" w:rsidR="002979FD" w:rsidRPr="002979FD" w:rsidRDefault="002979FD" w:rsidP="002979FD">
      <w:pPr>
        <w:pStyle w:val="affffb"/>
        <w:ind w:firstLine="420"/>
      </w:pPr>
    </w:p>
    <w:p w14:paraId="411859CA" w14:textId="77777777" w:rsidR="002979FD" w:rsidRDefault="002979FD" w:rsidP="002979FD">
      <w:pPr>
        <w:pStyle w:val="affffb"/>
        <w:ind w:firstLine="420"/>
      </w:pPr>
    </w:p>
    <w:p w14:paraId="5F2F093A" w14:textId="77777777" w:rsidR="002979FD" w:rsidRDefault="002979FD" w:rsidP="002979FD">
      <w:pPr>
        <w:pStyle w:val="affffb"/>
        <w:ind w:firstLine="420"/>
      </w:pPr>
    </w:p>
    <w:p w14:paraId="55701D02" w14:textId="715DF54D" w:rsidR="002979FD" w:rsidRDefault="002979FD" w:rsidP="002979FD">
      <w:pPr>
        <w:pStyle w:val="affffb"/>
        <w:ind w:firstLine="420"/>
      </w:pPr>
      <w:r>
        <w:rPr>
          <w:rFonts w:hint="eastAsia"/>
        </w:rPr>
        <w:t>本文件由</w:t>
      </w:r>
      <w:r w:rsidRPr="002979FD">
        <w:rPr>
          <w:rFonts w:hint="eastAsia"/>
        </w:rPr>
        <w:t>国网河北省电力有限公司</w:t>
      </w:r>
      <w:r>
        <w:rPr>
          <w:rFonts w:hint="eastAsia"/>
        </w:rPr>
        <w:t>提出。</w:t>
      </w:r>
    </w:p>
    <w:p w14:paraId="61253206" w14:textId="671263D3" w:rsidR="002979FD" w:rsidRDefault="002979FD" w:rsidP="002979FD">
      <w:pPr>
        <w:pStyle w:val="affffb"/>
        <w:ind w:firstLine="420"/>
      </w:pPr>
      <w:r>
        <w:rPr>
          <w:rFonts w:hint="eastAsia"/>
        </w:rPr>
        <w:t>本文件由中国消防协会归口。</w:t>
      </w:r>
    </w:p>
    <w:p w14:paraId="08FA3652" w14:textId="175C7396" w:rsidR="002979FD" w:rsidRDefault="002979FD" w:rsidP="002979FD">
      <w:pPr>
        <w:pStyle w:val="affffb"/>
        <w:ind w:firstLine="420"/>
      </w:pPr>
      <w:r>
        <w:rPr>
          <w:rFonts w:hint="eastAsia"/>
        </w:rPr>
        <w:t>本文件起草单位：</w:t>
      </w:r>
      <w:r w:rsidR="00744389">
        <w:t xml:space="preserve"> </w:t>
      </w:r>
    </w:p>
    <w:p w14:paraId="0688AE59" w14:textId="77777777" w:rsidR="002979FD" w:rsidRDefault="002979FD" w:rsidP="002979FD">
      <w:pPr>
        <w:pStyle w:val="affffb"/>
        <w:ind w:firstLine="420"/>
      </w:pPr>
      <w:r>
        <w:rPr>
          <w:rFonts w:hint="eastAsia"/>
        </w:rPr>
        <w:t>本文件主要起草人：</w:t>
      </w:r>
    </w:p>
    <w:p w14:paraId="2DEEE028" w14:textId="77777777" w:rsidR="002979FD" w:rsidRDefault="002979FD" w:rsidP="002979FD">
      <w:pPr>
        <w:pStyle w:val="affffb"/>
        <w:ind w:firstLine="420"/>
      </w:pPr>
    </w:p>
    <w:p w14:paraId="0BA9A24A" w14:textId="0202A22A" w:rsidR="002979FD" w:rsidRPr="002979FD" w:rsidRDefault="002979FD" w:rsidP="002979FD">
      <w:pPr>
        <w:pStyle w:val="affffb"/>
        <w:ind w:firstLine="420"/>
        <w:sectPr w:rsidR="002979FD" w:rsidRPr="002979FD" w:rsidSect="00DA4296">
          <w:pgSz w:w="11906" w:h="16838" w:code="9"/>
          <w:pgMar w:top="1928" w:right="1134" w:bottom="1134" w:left="1134" w:header="1418" w:footer="1134" w:gutter="284"/>
          <w:pgNumType w:fmt="upperRoman"/>
          <w:cols w:space="425"/>
          <w:formProt w:val="0"/>
          <w:docGrid w:linePitch="312"/>
        </w:sectPr>
      </w:pPr>
    </w:p>
    <w:p w14:paraId="5C8BC1B8" w14:textId="77777777" w:rsidR="00894836" w:rsidRPr="00145D9D" w:rsidRDefault="00894836" w:rsidP="00093D25">
      <w:pPr>
        <w:spacing w:line="20" w:lineRule="exact"/>
        <w:jc w:val="center"/>
        <w:rPr>
          <w:rFonts w:ascii="黑体" w:eastAsia="黑体" w:hAnsi="黑体" w:hint="eastAsia"/>
          <w:sz w:val="32"/>
          <w:szCs w:val="32"/>
        </w:rPr>
      </w:pPr>
      <w:bookmarkStart w:id="21" w:name="BookMark4"/>
      <w:bookmarkEnd w:id="20"/>
    </w:p>
    <w:p w14:paraId="789399F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44F764FC4DA4C10800863CD52035ADE"/>
        </w:placeholder>
      </w:sdtPr>
      <w:sdtContent>
        <w:bookmarkStart w:id="22" w:name="NEW_STAND_NAME" w:displacedByCustomXml="prev"/>
        <w:p w14:paraId="5185942E" w14:textId="7C13FC88" w:rsidR="00F26B7E" w:rsidRPr="00F26B7E" w:rsidRDefault="00573026" w:rsidP="00573026">
          <w:pPr>
            <w:pStyle w:val="afffffffff8"/>
            <w:spacing w:beforeLines="1" w:before="2" w:afterLines="220" w:after="528"/>
            <w:rPr>
              <w:rFonts w:hint="eastAsia"/>
            </w:rPr>
          </w:pPr>
          <w:r>
            <w:rPr>
              <w:rFonts w:hint="eastAsia"/>
            </w:rPr>
            <w:t>综合能源站消防安全技术规程</w:t>
          </w:r>
        </w:p>
      </w:sdtContent>
    </w:sdt>
    <w:bookmarkEnd w:id="22" w:displacedByCustomXml="prev"/>
    <w:p w14:paraId="0C929CA1"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bookmarkStart w:id="32" w:name="_Toc227678916"/>
      <w:r>
        <w:rPr>
          <w:rFonts w:hint="eastAsia"/>
        </w:rPr>
        <w:t>范围</w:t>
      </w:r>
      <w:bookmarkEnd w:id="23"/>
      <w:bookmarkEnd w:id="24"/>
      <w:bookmarkEnd w:id="25"/>
      <w:bookmarkEnd w:id="26"/>
      <w:bookmarkEnd w:id="27"/>
      <w:bookmarkEnd w:id="28"/>
      <w:bookmarkEnd w:id="29"/>
      <w:bookmarkEnd w:id="30"/>
      <w:bookmarkEnd w:id="31"/>
      <w:bookmarkEnd w:id="32"/>
    </w:p>
    <w:p w14:paraId="6F8F7FE3" w14:textId="080DF6D8" w:rsidR="008B0C9C" w:rsidRDefault="00321D17" w:rsidP="008B0C9C">
      <w:pPr>
        <w:pStyle w:val="affffb"/>
        <w:ind w:firstLine="420"/>
      </w:pPr>
      <w:bookmarkStart w:id="33" w:name="_Toc17233326"/>
      <w:bookmarkStart w:id="34" w:name="_Toc17233334"/>
      <w:bookmarkStart w:id="35" w:name="_Toc24884212"/>
      <w:bookmarkStart w:id="36" w:name="_Toc24884219"/>
      <w:bookmarkStart w:id="37" w:name="_Toc26648466"/>
      <w:r w:rsidRPr="00321D17">
        <w:rPr>
          <w:rFonts w:hint="eastAsia"/>
        </w:rPr>
        <w:t>本文件规定了综合能源站的</w:t>
      </w:r>
      <w:r w:rsidR="00221278">
        <w:rPr>
          <w:rFonts w:hint="eastAsia"/>
        </w:rPr>
        <w:t>场站布置、能源设施布置、电气设计、安全设施设计、施工及验收、使用维护与应急处置</w:t>
      </w:r>
      <w:r w:rsidRPr="00321D17">
        <w:rPr>
          <w:rFonts w:hint="eastAsia"/>
        </w:rPr>
        <w:t>等要求。</w:t>
      </w:r>
    </w:p>
    <w:p w14:paraId="35F62917" w14:textId="052D8953" w:rsidR="00321D17" w:rsidRDefault="000A6795" w:rsidP="008B0C9C">
      <w:pPr>
        <w:pStyle w:val="affffb"/>
        <w:ind w:firstLine="420"/>
      </w:pPr>
      <w:r w:rsidRPr="000A6795">
        <w:rPr>
          <w:rFonts w:hint="eastAsia"/>
        </w:rPr>
        <w:t>本文件适用于综合能源站消防系统的设计、施工、验收和运维。</w:t>
      </w:r>
    </w:p>
    <w:p w14:paraId="6F2A1887" w14:textId="77777777" w:rsidR="00E2552F" w:rsidRDefault="00E2552F" w:rsidP="00A77CCB">
      <w:pPr>
        <w:pStyle w:val="affc"/>
        <w:spacing w:before="240" w:after="240"/>
      </w:pPr>
      <w:bookmarkStart w:id="38" w:name="_Toc26718931"/>
      <w:bookmarkStart w:id="39" w:name="_Toc26986531"/>
      <w:bookmarkStart w:id="40" w:name="_Toc26986772"/>
      <w:bookmarkStart w:id="41" w:name="_Toc97192965"/>
      <w:bookmarkStart w:id="42" w:name="_Toc227678917"/>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93F0E376194C4DBCB22A10D4D794FE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CFBF6F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B0D695B" w14:textId="0B89E32C" w:rsidR="00660112" w:rsidRDefault="00660112" w:rsidP="00660112">
      <w:pPr>
        <w:pStyle w:val="affffb"/>
        <w:ind w:firstLine="420"/>
      </w:pPr>
      <w:r w:rsidRPr="00002135">
        <w:rPr>
          <w:rFonts w:hint="eastAsia"/>
        </w:rPr>
        <w:t>GB</w:t>
      </w:r>
      <w:r>
        <w:rPr>
          <w:rFonts w:hint="eastAsia"/>
        </w:rPr>
        <w:t xml:space="preserve"> </w:t>
      </w:r>
      <w:r w:rsidRPr="00002135">
        <w:rPr>
          <w:rFonts w:hint="eastAsia"/>
        </w:rPr>
        <w:t>26164.1</w:t>
      </w:r>
      <w:r w:rsidR="00656361">
        <w:rPr>
          <w:rFonts w:hint="eastAsia"/>
        </w:rPr>
        <w:t xml:space="preserve"> </w:t>
      </w:r>
      <w:r w:rsidR="00656361" w:rsidRPr="00656361">
        <w:rPr>
          <w:rFonts w:hint="eastAsia"/>
        </w:rPr>
        <w:t>电业安全工作规程第1部分：热力和机械</w:t>
      </w:r>
    </w:p>
    <w:p w14:paraId="776A209A" w14:textId="6C050C54" w:rsidR="003D2500" w:rsidRDefault="003D2500" w:rsidP="003D2500">
      <w:pPr>
        <w:pStyle w:val="affffb"/>
        <w:ind w:firstLine="420"/>
      </w:pPr>
      <w:r w:rsidRPr="003D2500">
        <w:rPr>
          <w:rFonts w:hint="eastAsia"/>
        </w:rPr>
        <w:t>GB</w:t>
      </w:r>
      <w:r>
        <w:rPr>
          <w:rFonts w:hint="eastAsia"/>
        </w:rPr>
        <w:t xml:space="preserve"> </w:t>
      </w:r>
      <w:r w:rsidRPr="003D2500">
        <w:rPr>
          <w:rFonts w:hint="eastAsia"/>
        </w:rPr>
        <w:t>50016</w:t>
      </w:r>
      <w:r w:rsidR="00660112">
        <w:rPr>
          <w:rFonts w:hint="eastAsia"/>
        </w:rPr>
        <w:t xml:space="preserve"> </w:t>
      </w:r>
      <w:r w:rsidR="00660112" w:rsidRPr="00660112">
        <w:rPr>
          <w:rFonts w:hint="eastAsia"/>
        </w:rPr>
        <w:t>建筑设计防火规范</w:t>
      </w:r>
    </w:p>
    <w:p w14:paraId="293F432B" w14:textId="45BCCF51" w:rsidR="00AA6EC9" w:rsidRPr="003D2500" w:rsidRDefault="00C963BC" w:rsidP="003D2500">
      <w:pPr>
        <w:pStyle w:val="affffb"/>
        <w:ind w:firstLine="420"/>
      </w:pPr>
      <w:r w:rsidRPr="003D2500">
        <w:rPr>
          <w:rFonts w:hint="eastAsia"/>
        </w:rPr>
        <w:t>GB 50156</w:t>
      </w:r>
      <w:r w:rsidR="003D2500" w:rsidRPr="003D2500">
        <w:rPr>
          <w:rFonts w:hint="eastAsia"/>
        </w:rPr>
        <w:t xml:space="preserve"> </w:t>
      </w:r>
      <w:r w:rsidR="003D2500" w:rsidRPr="003D2500">
        <w:t>汽车加油加气加氢站技术标准</w:t>
      </w:r>
    </w:p>
    <w:p w14:paraId="06BBAE98" w14:textId="7FD7B780" w:rsidR="00C963BC" w:rsidRPr="00660112" w:rsidRDefault="00C963BC" w:rsidP="00F65893">
      <w:pPr>
        <w:pStyle w:val="affffb"/>
        <w:ind w:firstLine="420"/>
        <w:rPr>
          <w:lang w:val="fr-FR"/>
        </w:rPr>
      </w:pPr>
      <w:r w:rsidRPr="00660112">
        <w:rPr>
          <w:rFonts w:hint="eastAsia"/>
          <w:lang w:val="fr-FR"/>
        </w:rPr>
        <w:t>GB 50516</w:t>
      </w:r>
      <w:r w:rsidR="00656361">
        <w:rPr>
          <w:rFonts w:hint="eastAsia"/>
          <w:lang w:val="fr-FR"/>
        </w:rPr>
        <w:t xml:space="preserve"> </w:t>
      </w:r>
      <w:r w:rsidR="00656361" w:rsidRPr="00656361">
        <w:rPr>
          <w:rFonts w:hint="eastAsia"/>
          <w:lang w:val="fr-FR"/>
        </w:rPr>
        <w:t>加氢站技术规范</w:t>
      </w:r>
    </w:p>
    <w:p w14:paraId="57C6C92E" w14:textId="63AD59E9" w:rsidR="003D2500" w:rsidRDefault="003D2500" w:rsidP="00F65893">
      <w:pPr>
        <w:pStyle w:val="affffb"/>
        <w:ind w:firstLine="420"/>
        <w:rPr>
          <w:lang w:val="fr-FR"/>
        </w:rPr>
      </w:pPr>
      <w:r w:rsidRPr="00660112">
        <w:rPr>
          <w:rFonts w:hint="eastAsia"/>
          <w:lang w:val="fr-FR"/>
        </w:rPr>
        <w:t>GB 50052</w:t>
      </w:r>
      <w:r w:rsidR="00660112">
        <w:rPr>
          <w:rFonts w:hint="eastAsia"/>
          <w:lang w:val="fr-FR"/>
        </w:rPr>
        <w:t xml:space="preserve"> </w:t>
      </w:r>
      <w:r w:rsidR="00660112" w:rsidRPr="00660112">
        <w:rPr>
          <w:rFonts w:hint="eastAsia"/>
          <w:lang w:val="fr-FR"/>
        </w:rPr>
        <w:t>供配电系统设计规范</w:t>
      </w:r>
    </w:p>
    <w:p w14:paraId="65A623D3" w14:textId="46F377B9" w:rsidR="00860EEA" w:rsidRPr="00660112" w:rsidRDefault="00860EEA" w:rsidP="00F65893">
      <w:pPr>
        <w:pStyle w:val="affffb"/>
        <w:ind w:firstLine="420"/>
        <w:rPr>
          <w:lang w:val="fr-FR"/>
        </w:rPr>
      </w:pPr>
      <w:r>
        <w:rPr>
          <w:rFonts w:hint="eastAsia"/>
          <w:lang w:val="fr-FR"/>
        </w:rPr>
        <w:t xml:space="preserve">GB 50058 </w:t>
      </w:r>
      <w:r w:rsidRPr="00860EEA">
        <w:rPr>
          <w:rFonts w:hint="eastAsia"/>
          <w:lang w:val="fr-FR"/>
        </w:rPr>
        <w:t>爆炸危险环境电力装置设计规范</w:t>
      </w:r>
    </w:p>
    <w:p w14:paraId="162D5A48" w14:textId="0407B3F4" w:rsidR="00002135" w:rsidRPr="00660112" w:rsidRDefault="00002135" w:rsidP="00F65893">
      <w:pPr>
        <w:pStyle w:val="affffb"/>
        <w:ind w:firstLine="420"/>
        <w:rPr>
          <w:lang w:val="fr-FR"/>
        </w:rPr>
      </w:pPr>
      <w:r w:rsidRPr="00660112">
        <w:rPr>
          <w:rFonts w:hint="eastAsia"/>
          <w:lang w:val="fr-FR"/>
        </w:rPr>
        <w:t>GB 50720</w:t>
      </w:r>
      <w:r w:rsidR="00656361">
        <w:rPr>
          <w:rFonts w:hint="eastAsia"/>
          <w:lang w:val="fr-FR"/>
        </w:rPr>
        <w:t xml:space="preserve"> </w:t>
      </w:r>
      <w:r w:rsidR="00656361" w:rsidRPr="00656361">
        <w:rPr>
          <w:rFonts w:hint="eastAsia"/>
          <w:lang w:val="fr-FR"/>
        </w:rPr>
        <w:t>建设工程施工现场消防安全技术规范</w:t>
      </w:r>
    </w:p>
    <w:p w14:paraId="4102B951" w14:textId="033EA923" w:rsidR="004D234D" w:rsidRPr="00660112" w:rsidRDefault="004D234D" w:rsidP="00660112">
      <w:pPr>
        <w:pStyle w:val="affffb"/>
        <w:ind w:firstLine="420"/>
      </w:pPr>
      <w:r w:rsidRPr="00660112">
        <w:rPr>
          <w:rFonts w:hint="eastAsia"/>
          <w:lang w:val="fr-FR"/>
        </w:rPr>
        <w:t>GB 50966</w:t>
      </w:r>
      <w:r w:rsidR="00660112">
        <w:rPr>
          <w:rFonts w:hint="eastAsia"/>
          <w:lang w:val="fr-FR"/>
        </w:rPr>
        <w:t xml:space="preserve"> </w:t>
      </w:r>
      <w:r w:rsidR="00660112" w:rsidRPr="00660112">
        <w:t>电动汽车充电站设计规范</w:t>
      </w:r>
    </w:p>
    <w:p w14:paraId="0A91E0D9" w14:textId="2832C1F6" w:rsidR="00660112" w:rsidRPr="00660112" w:rsidRDefault="00660112" w:rsidP="00660112">
      <w:pPr>
        <w:pStyle w:val="affffb"/>
        <w:ind w:firstLine="420"/>
        <w:rPr>
          <w:lang w:val="fr-FR"/>
        </w:rPr>
      </w:pPr>
      <w:r w:rsidRPr="00660112">
        <w:rPr>
          <w:rFonts w:hint="eastAsia"/>
          <w:lang w:val="fr-FR"/>
        </w:rPr>
        <w:t>GB/T 50493</w:t>
      </w:r>
      <w:r>
        <w:rPr>
          <w:rFonts w:hint="eastAsia"/>
          <w:lang w:val="fr-FR"/>
        </w:rPr>
        <w:t xml:space="preserve"> </w:t>
      </w:r>
      <w:r w:rsidRPr="00660112">
        <w:rPr>
          <w:rFonts w:hint="eastAsia"/>
          <w:lang w:val="fr-FR"/>
        </w:rPr>
        <w:t>石油化工可燃气体和有毒气体检测报警设计标准</w:t>
      </w:r>
    </w:p>
    <w:p w14:paraId="6F72B51A" w14:textId="6B626A33" w:rsidR="004D234D" w:rsidRPr="00660112" w:rsidRDefault="004D234D" w:rsidP="00660112">
      <w:pPr>
        <w:pStyle w:val="affffb"/>
        <w:ind w:firstLine="420"/>
      </w:pPr>
      <w:r w:rsidRPr="004D234D">
        <w:rPr>
          <w:rFonts w:hint="eastAsia"/>
        </w:rPr>
        <w:t>GB/T 51077</w:t>
      </w:r>
      <w:r w:rsidR="00660112">
        <w:rPr>
          <w:rFonts w:hint="eastAsia"/>
        </w:rPr>
        <w:t xml:space="preserve"> </w:t>
      </w:r>
      <w:r w:rsidR="00660112" w:rsidRPr="00660112">
        <w:t>电动汽车电池更换站设计规范</w:t>
      </w:r>
    </w:p>
    <w:p w14:paraId="05DC05B9" w14:textId="64C42446" w:rsidR="00002135" w:rsidRPr="008A57E6" w:rsidRDefault="00002135" w:rsidP="00F65893">
      <w:pPr>
        <w:pStyle w:val="affffb"/>
        <w:ind w:firstLine="420"/>
      </w:pPr>
      <w:r w:rsidRPr="00002135">
        <w:rPr>
          <w:rFonts w:hint="eastAsia"/>
        </w:rPr>
        <w:t>DL</w:t>
      </w:r>
      <w:r>
        <w:rPr>
          <w:rFonts w:hint="eastAsia"/>
        </w:rPr>
        <w:t xml:space="preserve"> </w:t>
      </w:r>
      <w:r w:rsidRPr="00002135">
        <w:rPr>
          <w:rFonts w:hint="eastAsia"/>
        </w:rPr>
        <w:t>5027</w:t>
      </w:r>
      <w:r w:rsidR="00656361">
        <w:rPr>
          <w:rFonts w:hint="eastAsia"/>
        </w:rPr>
        <w:t xml:space="preserve"> </w:t>
      </w:r>
      <w:r w:rsidR="00656361" w:rsidRPr="00656361">
        <w:rPr>
          <w:rFonts w:hint="eastAsia"/>
        </w:rPr>
        <w:t>电力设备防火规范</w:t>
      </w:r>
    </w:p>
    <w:p w14:paraId="7B009ABD" w14:textId="77777777" w:rsidR="00B265BC" w:rsidRPr="00E030F9" w:rsidRDefault="00FD59EB" w:rsidP="00FD59EB">
      <w:pPr>
        <w:pStyle w:val="affc"/>
        <w:spacing w:before="240" w:after="240"/>
      </w:pPr>
      <w:bookmarkStart w:id="43" w:name="_Toc97192966"/>
      <w:bookmarkStart w:id="44" w:name="_Toc227678918"/>
      <w:r>
        <w:rPr>
          <w:rFonts w:hint="eastAsia"/>
          <w:szCs w:val="21"/>
        </w:rPr>
        <w:t>术语和定义</w:t>
      </w:r>
      <w:bookmarkEnd w:id="43"/>
      <w:bookmarkEnd w:id="44"/>
    </w:p>
    <w:bookmarkStart w:id="45" w:name="_Toc26986532" w:displacedByCustomXml="next"/>
    <w:bookmarkEnd w:id="45" w:displacedByCustomXml="next"/>
    <w:sdt>
      <w:sdtPr>
        <w:id w:val="-1909835108"/>
        <w:placeholder>
          <w:docPart w:val="AC1A3527ACD344B2BF10730B29741CE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13D47DC" w14:textId="7030DA56" w:rsidR="003C010C" w:rsidRDefault="00EE3914" w:rsidP="00BA263B">
          <w:pPr>
            <w:pStyle w:val="affffb"/>
            <w:ind w:firstLine="420"/>
          </w:pPr>
          <w:r>
            <w:t>下列术语和定义适用于本文件。</w:t>
          </w:r>
        </w:p>
      </w:sdtContent>
    </w:sdt>
    <w:p w14:paraId="06FA9EDD" w14:textId="77777777" w:rsidR="004B3E93" w:rsidRDefault="004B3E93" w:rsidP="00EE3914">
      <w:pPr>
        <w:pStyle w:val="affd"/>
        <w:spacing w:before="120" w:after="120"/>
      </w:pPr>
    </w:p>
    <w:p w14:paraId="57AD32E4" w14:textId="01ED44EF" w:rsidR="002A1260" w:rsidRPr="00EE3914" w:rsidRDefault="00EE3914" w:rsidP="00653FED">
      <w:pPr>
        <w:pStyle w:val="affffb"/>
        <w:ind w:firstLine="420"/>
        <w:rPr>
          <w:rFonts w:ascii="黑体" w:eastAsia="黑体" w:hAnsi="黑体" w:hint="eastAsia"/>
        </w:rPr>
      </w:pPr>
      <w:r w:rsidRPr="00EE3914">
        <w:rPr>
          <w:rFonts w:ascii="黑体" w:eastAsia="黑体" w:hAnsi="黑体" w:hint="eastAsia"/>
        </w:rPr>
        <w:t>综合能源站 Integrated energy station</w:t>
      </w:r>
    </w:p>
    <w:p w14:paraId="2A862DEB" w14:textId="55EDB233" w:rsidR="001D212F" w:rsidRPr="00EE3914" w:rsidRDefault="00EE3914" w:rsidP="00E60C63">
      <w:pPr>
        <w:pStyle w:val="affffb"/>
        <w:ind w:firstLine="420"/>
      </w:pPr>
      <w:r w:rsidRPr="00EE3914">
        <w:rPr>
          <w:rFonts w:hint="eastAsia"/>
        </w:rPr>
        <w:t>基于加油站升级改造的与光伏发电、锂离子电池储能、氢能单一或多种新能源设施合建，为机动车加油、加气或补充氢、电等服务的场站。</w:t>
      </w:r>
    </w:p>
    <w:p w14:paraId="789C6915" w14:textId="1D2AB8BD" w:rsidR="007A5D3A" w:rsidRDefault="00EE3914" w:rsidP="00EE3914">
      <w:pPr>
        <w:pStyle w:val="affc"/>
        <w:spacing w:before="240" w:after="240"/>
      </w:pPr>
      <w:bookmarkStart w:id="46" w:name="_Toc227678919"/>
      <w:r>
        <w:rPr>
          <w:rFonts w:hint="eastAsia"/>
        </w:rPr>
        <w:t>场站布置</w:t>
      </w:r>
      <w:bookmarkEnd w:id="46"/>
    </w:p>
    <w:p w14:paraId="5F6E607F" w14:textId="44A308B1" w:rsidR="00EE3914" w:rsidRPr="00EE3914" w:rsidRDefault="00EE3914" w:rsidP="00EE3914">
      <w:pPr>
        <w:pStyle w:val="affffffffe"/>
      </w:pPr>
      <w:r w:rsidRPr="00EE3914">
        <w:rPr>
          <w:rFonts w:hint="eastAsia"/>
        </w:rPr>
        <w:t>综合能源站的平面布置应符合工艺流程合理、交通便利和节约用地原则，加油、加气、加氢、充电、光伏、储能等应分类分区布置，见表1。</w:t>
      </w:r>
    </w:p>
    <w:p w14:paraId="23784D3B" w14:textId="1D1DB049" w:rsidR="003E019F" w:rsidRDefault="00EE3914" w:rsidP="00EE3914">
      <w:pPr>
        <w:pStyle w:val="aff2"/>
        <w:spacing w:before="120" w:after="120"/>
      </w:pPr>
      <w:r w:rsidRPr="00EE3914">
        <w:rPr>
          <w:rFonts w:hint="eastAsia"/>
        </w:rPr>
        <w:t>综合能源站分类表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1985"/>
        <w:gridCol w:w="5516"/>
      </w:tblGrid>
      <w:tr w:rsidR="00EE3914" w14:paraId="5A99E2D1" w14:textId="77777777" w:rsidTr="00EE3914">
        <w:trPr>
          <w:tblHeader/>
          <w:jc w:val="center"/>
        </w:trPr>
        <w:tc>
          <w:tcPr>
            <w:tcW w:w="3818" w:type="dxa"/>
            <w:gridSpan w:val="2"/>
            <w:tcBorders>
              <w:top w:val="single" w:sz="8" w:space="0" w:color="auto"/>
              <w:bottom w:val="single" w:sz="8" w:space="0" w:color="auto"/>
            </w:tcBorders>
            <w:vAlign w:val="center"/>
          </w:tcPr>
          <w:p w14:paraId="345C6204" w14:textId="686CAA52" w:rsidR="00EE3914" w:rsidRDefault="00EE3914" w:rsidP="00EE3914">
            <w:pPr>
              <w:pStyle w:val="afffffffff9"/>
            </w:pPr>
            <w:r>
              <w:rPr>
                <w:rFonts w:hint="eastAsia"/>
              </w:rPr>
              <w:t>分类</w:t>
            </w:r>
          </w:p>
        </w:tc>
        <w:tc>
          <w:tcPr>
            <w:tcW w:w="5516" w:type="dxa"/>
            <w:tcBorders>
              <w:top w:val="single" w:sz="8" w:space="0" w:color="auto"/>
              <w:bottom w:val="single" w:sz="8" w:space="0" w:color="auto"/>
            </w:tcBorders>
            <w:vAlign w:val="center"/>
          </w:tcPr>
          <w:p w14:paraId="5728FDB5" w14:textId="4B7F49DD" w:rsidR="00EE3914" w:rsidRDefault="00EE3914" w:rsidP="00EE3914">
            <w:pPr>
              <w:pStyle w:val="afffffffff9"/>
            </w:pPr>
            <w:r>
              <w:rPr>
                <w:rFonts w:hint="eastAsia"/>
              </w:rPr>
              <w:t>功能</w:t>
            </w:r>
          </w:p>
        </w:tc>
      </w:tr>
      <w:tr w:rsidR="00EE3914" w14:paraId="7503FAE5" w14:textId="77777777" w:rsidTr="00FB1152">
        <w:trPr>
          <w:jc w:val="center"/>
        </w:trPr>
        <w:tc>
          <w:tcPr>
            <w:tcW w:w="1833" w:type="dxa"/>
            <w:tcBorders>
              <w:top w:val="single" w:sz="8" w:space="0" w:color="auto"/>
            </w:tcBorders>
            <w:vAlign w:val="center"/>
          </w:tcPr>
          <w:p w14:paraId="5C9F5280" w14:textId="2BAEEF29" w:rsidR="00EE3914" w:rsidRDefault="00EE3914" w:rsidP="00EE3914">
            <w:pPr>
              <w:pStyle w:val="afffffffff9"/>
            </w:pPr>
            <w:r>
              <w:rPr>
                <w:rFonts w:hint="eastAsia"/>
              </w:rPr>
              <w:t>A类</w:t>
            </w:r>
          </w:p>
        </w:tc>
        <w:tc>
          <w:tcPr>
            <w:tcW w:w="1985" w:type="dxa"/>
            <w:tcBorders>
              <w:top w:val="single" w:sz="8" w:space="0" w:color="auto"/>
            </w:tcBorders>
            <w:vAlign w:val="center"/>
          </w:tcPr>
          <w:p w14:paraId="672CEBE3" w14:textId="35C6DDF1" w:rsidR="00EE3914" w:rsidRDefault="00EE3914" w:rsidP="00EE3914">
            <w:pPr>
              <w:pStyle w:val="afffffffff9"/>
            </w:pPr>
            <w:r w:rsidRPr="00EE3914">
              <w:rPr>
                <w:rFonts w:hint="eastAsia"/>
              </w:rPr>
              <w:t>油、气、氢、电</w:t>
            </w:r>
          </w:p>
        </w:tc>
        <w:tc>
          <w:tcPr>
            <w:tcW w:w="5516" w:type="dxa"/>
            <w:tcBorders>
              <w:top w:val="single" w:sz="8" w:space="0" w:color="auto"/>
            </w:tcBorders>
          </w:tcPr>
          <w:p w14:paraId="4162592D" w14:textId="322F08D5" w:rsidR="00EE3914" w:rsidRDefault="00EE3914" w:rsidP="00EE3914">
            <w:pPr>
              <w:pStyle w:val="afffffffff9"/>
            </w:pPr>
            <w:r>
              <w:rPr>
                <w:rFonts w:hAnsi="宋体" w:hint="eastAsia"/>
                <w:szCs w:val="18"/>
              </w:rPr>
              <w:t>汽柴油、充电、换电、CNG/LNG、氢能源</w:t>
            </w:r>
          </w:p>
        </w:tc>
      </w:tr>
      <w:tr w:rsidR="00EE3914" w14:paraId="2637A14E" w14:textId="77777777" w:rsidTr="00FB1152">
        <w:trPr>
          <w:jc w:val="center"/>
        </w:trPr>
        <w:tc>
          <w:tcPr>
            <w:tcW w:w="1833" w:type="dxa"/>
            <w:vMerge w:val="restart"/>
            <w:vAlign w:val="center"/>
          </w:tcPr>
          <w:p w14:paraId="34BD2472" w14:textId="46E69F6F" w:rsidR="00EE3914" w:rsidRDefault="00EE3914" w:rsidP="00EE3914">
            <w:pPr>
              <w:pStyle w:val="afffffffff9"/>
            </w:pPr>
            <w:r>
              <w:rPr>
                <w:rFonts w:hint="eastAsia"/>
              </w:rPr>
              <w:t>B类</w:t>
            </w:r>
          </w:p>
        </w:tc>
        <w:tc>
          <w:tcPr>
            <w:tcW w:w="1985" w:type="dxa"/>
          </w:tcPr>
          <w:p w14:paraId="572BE9A0" w14:textId="104DA897" w:rsidR="00EE3914" w:rsidRDefault="00EE3914" w:rsidP="00EE3914">
            <w:pPr>
              <w:pStyle w:val="afffffffff9"/>
            </w:pPr>
            <w:r>
              <w:rPr>
                <w:rFonts w:hAnsi="宋体" w:hint="eastAsia"/>
                <w:szCs w:val="18"/>
              </w:rPr>
              <w:t>油、气、电</w:t>
            </w:r>
          </w:p>
        </w:tc>
        <w:tc>
          <w:tcPr>
            <w:tcW w:w="5516" w:type="dxa"/>
          </w:tcPr>
          <w:p w14:paraId="4AAE9284" w14:textId="51728FEC" w:rsidR="00EE3914" w:rsidRDefault="00EE3914" w:rsidP="00EE3914">
            <w:pPr>
              <w:pStyle w:val="afffffffff9"/>
            </w:pPr>
            <w:r>
              <w:rPr>
                <w:rFonts w:hAnsi="宋体" w:hint="eastAsia"/>
                <w:szCs w:val="18"/>
              </w:rPr>
              <w:t>汽柴油、充电、换电、CNG/LNG</w:t>
            </w:r>
          </w:p>
        </w:tc>
      </w:tr>
      <w:tr w:rsidR="00EE3914" w14:paraId="00D074C6" w14:textId="77777777" w:rsidTr="00FB1152">
        <w:trPr>
          <w:jc w:val="center"/>
        </w:trPr>
        <w:tc>
          <w:tcPr>
            <w:tcW w:w="1833" w:type="dxa"/>
            <w:vMerge/>
            <w:vAlign w:val="center"/>
          </w:tcPr>
          <w:p w14:paraId="3F33EE86" w14:textId="77777777" w:rsidR="00EE3914" w:rsidRDefault="00EE3914" w:rsidP="00EE3914">
            <w:pPr>
              <w:pStyle w:val="afffffffff9"/>
            </w:pPr>
          </w:p>
        </w:tc>
        <w:tc>
          <w:tcPr>
            <w:tcW w:w="1985" w:type="dxa"/>
          </w:tcPr>
          <w:p w14:paraId="46526591" w14:textId="0E4950CC" w:rsidR="00EE3914" w:rsidRDefault="00EE3914" w:rsidP="00EE3914">
            <w:pPr>
              <w:pStyle w:val="afffffffff9"/>
            </w:pPr>
            <w:r>
              <w:rPr>
                <w:rFonts w:hAnsi="宋体" w:hint="eastAsia"/>
                <w:szCs w:val="18"/>
              </w:rPr>
              <w:t>油、氢、电</w:t>
            </w:r>
          </w:p>
        </w:tc>
        <w:tc>
          <w:tcPr>
            <w:tcW w:w="5516" w:type="dxa"/>
          </w:tcPr>
          <w:p w14:paraId="620F522D" w14:textId="33082195" w:rsidR="00EE3914" w:rsidRDefault="00EE3914" w:rsidP="00EE3914">
            <w:pPr>
              <w:pStyle w:val="afffffffff9"/>
            </w:pPr>
            <w:r>
              <w:rPr>
                <w:rFonts w:hAnsi="宋体" w:hint="eastAsia"/>
                <w:szCs w:val="18"/>
              </w:rPr>
              <w:t>汽柴油、充电、换电、氢能源</w:t>
            </w:r>
          </w:p>
        </w:tc>
      </w:tr>
      <w:tr w:rsidR="00EE3914" w14:paraId="6D7E379B" w14:textId="77777777" w:rsidTr="00FB1152">
        <w:trPr>
          <w:jc w:val="center"/>
        </w:trPr>
        <w:tc>
          <w:tcPr>
            <w:tcW w:w="1833" w:type="dxa"/>
            <w:vMerge/>
            <w:vAlign w:val="center"/>
          </w:tcPr>
          <w:p w14:paraId="581C7D09" w14:textId="77777777" w:rsidR="00EE3914" w:rsidRDefault="00EE3914" w:rsidP="00EE3914">
            <w:pPr>
              <w:pStyle w:val="afffffffff9"/>
            </w:pPr>
          </w:p>
        </w:tc>
        <w:tc>
          <w:tcPr>
            <w:tcW w:w="1985" w:type="dxa"/>
          </w:tcPr>
          <w:p w14:paraId="57F5A972" w14:textId="2DAD4E78" w:rsidR="00EE3914" w:rsidRDefault="00EE3914" w:rsidP="00EE3914">
            <w:pPr>
              <w:pStyle w:val="afffffffff9"/>
            </w:pPr>
            <w:r>
              <w:rPr>
                <w:rFonts w:hAnsi="宋体" w:hint="eastAsia"/>
                <w:szCs w:val="18"/>
              </w:rPr>
              <w:t>气、氢、电</w:t>
            </w:r>
          </w:p>
        </w:tc>
        <w:tc>
          <w:tcPr>
            <w:tcW w:w="5516" w:type="dxa"/>
          </w:tcPr>
          <w:p w14:paraId="0672644B" w14:textId="59FD2A98" w:rsidR="00EE3914" w:rsidRDefault="00EE3914" w:rsidP="00EE3914">
            <w:pPr>
              <w:pStyle w:val="afffffffff9"/>
            </w:pPr>
            <w:r>
              <w:rPr>
                <w:rFonts w:hAnsi="宋体" w:hint="eastAsia"/>
                <w:szCs w:val="18"/>
              </w:rPr>
              <w:t xml:space="preserve">氢能源、充电或换电、CNG/LNG </w:t>
            </w:r>
          </w:p>
        </w:tc>
      </w:tr>
      <w:tr w:rsidR="00EE3914" w14:paraId="0404090E" w14:textId="77777777" w:rsidTr="00FB1152">
        <w:trPr>
          <w:jc w:val="center"/>
        </w:trPr>
        <w:tc>
          <w:tcPr>
            <w:tcW w:w="1833" w:type="dxa"/>
            <w:vMerge w:val="restart"/>
            <w:vAlign w:val="center"/>
          </w:tcPr>
          <w:p w14:paraId="1E283583" w14:textId="0C9904C8" w:rsidR="00EE3914" w:rsidRDefault="00EE3914" w:rsidP="00EE3914">
            <w:pPr>
              <w:pStyle w:val="afffffffff9"/>
            </w:pPr>
            <w:r>
              <w:rPr>
                <w:rFonts w:hint="eastAsia"/>
              </w:rPr>
              <w:t>C类</w:t>
            </w:r>
          </w:p>
        </w:tc>
        <w:tc>
          <w:tcPr>
            <w:tcW w:w="1985" w:type="dxa"/>
          </w:tcPr>
          <w:p w14:paraId="0799B457" w14:textId="6886CEBC" w:rsidR="00EE3914" w:rsidRDefault="00EE3914" w:rsidP="00EE3914">
            <w:pPr>
              <w:pStyle w:val="afffffffff9"/>
            </w:pPr>
            <w:r>
              <w:rPr>
                <w:rFonts w:hAnsi="宋体" w:hint="eastAsia"/>
                <w:szCs w:val="18"/>
              </w:rPr>
              <w:t>油、电</w:t>
            </w:r>
          </w:p>
        </w:tc>
        <w:tc>
          <w:tcPr>
            <w:tcW w:w="5516" w:type="dxa"/>
          </w:tcPr>
          <w:p w14:paraId="2EA8279A" w14:textId="6057DE69" w:rsidR="00EE3914" w:rsidRDefault="00EE3914" w:rsidP="00EE3914">
            <w:pPr>
              <w:pStyle w:val="afffffffff9"/>
            </w:pPr>
            <w:r>
              <w:rPr>
                <w:rFonts w:hAnsi="宋体" w:hint="eastAsia"/>
                <w:szCs w:val="18"/>
              </w:rPr>
              <w:t>汽柴油、充电或换电</w:t>
            </w:r>
          </w:p>
        </w:tc>
      </w:tr>
      <w:tr w:rsidR="00EE3914" w14:paraId="7354BE74" w14:textId="77777777" w:rsidTr="00FB1152">
        <w:trPr>
          <w:jc w:val="center"/>
        </w:trPr>
        <w:tc>
          <w:tcPr>
            <w:tcW w:w="1833" w:type="dxa"/>
            <w:vMerge/>
            <w:vAlign w:val="center"/>
          </w:tcPr>
          <w:p w14:paraId="29DC03DA" w14:textId="77777777" w:rsidR="00EE3914" w:rsidRDefault="00EE3914" w:rsidP="00EE3914">
            <w:pPr>
              <w:pStyle w:val="afffffffff9"/>
            </w:pPr>
          </w:p>
        </w:tc>
        <w:tc>
          <w:tcPr>
            <w:tcW w:w="1985" w:type="dxa"/>
          </w:tcPr>
          <w:p w14:paraId="788C8AA6" w14:textId="16B5E55B" w:rsidR="00EE3914" w:rsidRDefault="00EE3914" w:rsidP="00EE3914">
            <w:pPr>
              <w:pStyle w:val="afffffffff9"/>
            </w:pPr>
            <w:r>
              <w:rPr>
                <w:rFonts w:hAnsi="宋体" w:hint="eastAsia"/>
                <w:szCs w:val="18"/>
              </w:rPr>
              <w:t>油、气</w:t>
            </w:r>
          </w:p>
        </w:tc>
        <w:tc>
          <w:tcPr>
            <w:tcW w:w="5516" w:type="dxa"/>
          </w:tcPr>
          <w:p w14:paraId="42AFF4F2" w14:textId="25FC5024" w:rsidR="00EE3914" w:rsidRDefault="00EE3914" w:rsidP="00EE3914">
            <w:pPr>
              <w:pStyle w:val="afffffffff9"/>
            </w:pPr>
            <w:r>
              <w:rPr>
                <w:rFonts w:hAnsi="宋体" w:hint="eastAsia"/>
                <w:szCs w:val="18"/>
              </w:rPr>
              <w:t>汽柴油、CNG/LNG</w:t>
            </w:r>
          </w:p>
        </w:tc>
      </w:tr>
      <w:tr w:rsidR="00EE3914" w14:paraId="4C02F3CF" w14:textId="77777777" w:rsidTr="00FB1152">
        <w:trPr>
          <w:jc w:val="center"/>
        </w:trPr>
        <w:tc>
          <w:tcPr>
            <w:tcW w:w="1833" w:type="dxa"/>
            <w:vMerge/>
            <w:vAlign w:val="center"/>
          </w:tcPr>
          <w:p w14:paraId="151B607A" w14:textId="77777777" w:rsidR="00EE3914" w:rsidRDefault="00EE3914" w:rsidP="00EE3914">
            <w:pPr>
              <w:pStyle w:val="afffffffff9"/>
            </w:pPr>
          </w:p>
        </w:tc>
        <w:tc>
          <w:tcPr>
            <w:tcW w:w="1985" w:type="dxa"/>
          </w:tcPr>
          <w:p w14:paraId="5650F75E" w14:textId="5B2C8C7A" w:rsidR="00EE3914" w:rsidRDefault="00EE3914" w:rsidP="00EE3914">
            <w:pPr>
              <w:pStyle w:val="afffffffff9"/>
            </w:pPr>
            <w:r>
              <w:rPr>
                <w:rFonts w:hAnsi="宋体" w:hint="eastAsia"/>
                <w:szCs w:val="18"/>
              </w:rPr>
              <w:t>油、氢</w:t>
            </w:r>
          </w:p>
        </w:tc>
        <w:tc>
          <w:tcPr>
            <w:tcW w:w="5516" w:type="dxa"/>
          </w:tcPr>
          <w:p w14:paraId="7B2EC330" w14:textId="5B9B416E" w:rsidR="00EE3914" w:rsidRDefault="00EE3914" w:rsidP="00EE3914">
            <w:pPr>
              <w:pStyle w:val="afffffffff9"/>
            </w:pPr>
            <w:r>
              <w:rPr>
                <w:rFonts w:hAnsi="宋体" w:hint="eastAsia"/>
                <w:szCs w:val="18"/>
              </w:rPr>
              <w:t>汽柴油、氢能源</w:t>
            </w:r>
          </w:p>
        </w:tc>
      </w:tr>
      <w:tr w:rsidR="00EE3914" w14:paraId="7E6AC835" w14:textId="77777777" w:rsidTr="00FB1152">
        <w:trPr>
          <w:jc w:val="center"/>
        </w:trPr>
        <w:tc>
          <w:tcPr>
            <w:tcW w:w="1833" w:type="dxa"/>
            <w:vMerge/>
            <w:vAlign w:val="center"/>
          </w:tcPr>
          <w:p w14:paraId="28503147" w14:textId="77777777" w:rsidR="00EE3914" w:rsidRDefault="00EE3914" w:rsidP="00EE3914">
            <w:pPr>
              <w:pStyle w:val="afffffffff9"/>
            </w:pPr>
          </w:p>
        </w:tc>
        <w:tc>
          <w:tcPr>
            <w:tcW w:w="1985" w:type="dxa"/>
          </w:tcPr>
          <w:p w14:paraId="277F4BE8" w14:textId="57161BE8" w:rsidR="00EE3914" w:rsidRDefault="00EE3914" w:rsidP="00EE3914">
            <w:pPr>
              <w:pStyle w:val="afffffffff9"/>
            </w:pPr>
            <w:r>
              <w:rPr>
                <w:rFonts w:hAnsi="宋体" w:hint="eastAsia"/>
                <w:szCs w:val="18"/>
              </w:rPr>
              <w:t>气、电</w:t>
            </w:r>
          </w:p>
        </w:tc>
        <w:tc>
          <w:tcPr>
            <w:tcW w:w="5516" w:type="dxa"/>
          </w:tcPr>
          <w:p w14:paraId="598FD853" w14:textId="6E29F652" w:rsidR="00EE3914" w:rsidRDefault="00EE3914" w:rsidP="00EE3914">
            <w:pPr>
              <w:pStyle w:val="afffffffff9"/>
            </w:pPr>
            <w:r>
              <w:rPr>
                <w:rFonts w:hAnsi="宋体" w:hint="eastAsia"/>
                <w:szCs w:val="18"/>
              </w:rPr>
              <w:t>CNG/LNG、充电或换电</w:t>
            </w:r>
          </w:p>
        </w:tc>
      </w:tr>
      <w:tr w:rsidR="00EE3914" w14:paraId="6CB61E94" w14:textId="77777777" w:rsidTr="00FB1152">
        <w:trPr>
          <w:jc w:val="center"/>
        </w:trPr>
        <w:tc>
          <w:tcPr>
            <w:tcW w:w="1833" w:type="dxa"/>
            <w:vMerge/>
            <w:vAlign w:val="center"/>
          </w:tcPr>
          <w:p w14:paraId="618F9436" w14:textId="77777777" w:rsidR="00EE3914" w:rsidRDefault="00EE3914" w:rsidP="00EE3914">
            <w:pPr>
              <w:pStyle w:val="afffffffff9"/>
            </w:pPr>
          </w:p>
        </w:tc>
        <w:tc>
          <w:tcPr>
            <w:tcW w:w="1985" w:type="dxa"/>
          </w:tcPr>
          <w:p w14:paraId="5C35B84D" w14:textId="0639693A" w:rsidR="00EE3914" w:rsidRDefault="00EE3914" w:rsidP="00EE3914">
            <w:pPr>
              <w:pStyle w:val="afffffffff9"/>
            </w:pPr>
            <w:r>
              <w:rPr>
                <w:rFonts w:hAnsi="宋体" w:hint="eastAsia"/>
                <w:szCs w:val="18"/>
              </w:rPr>
              <w:t>气、氢</w:t>
            </w:r>
          </w:p>
        </w:tc>
        <w:tc>
          <w:tcPr>
            <w:tcW w:w="5516" w:type="dxa"/>
          </w:tcPr>
          <w:p w14:paraId="13EC5644" w14:textId="5ADB8E11" w:rsidR="00EE3914" w:rsidRDefault="00EE3914" w:rsidP="00EE3914">
            <w:pPr>
              <w:pStyle w:val="afffffffff9"/>
            </w:pPr>
            <w:r>
              <w:rPr>
                <w:rFonts w:hAnsi="宋体" w:hint="eastAsia"/>
                <w:szCs w:val="18"/>
              </w:rPr>
              <w:t>CNG/LNG、氢能源</w:t>
            </w:r>
          </w:p>
        </w:tc>
      </w:tr>
      <w:tr w:rsidR="00EE3914" w14:paraId="73EB2A52" w14:textId="77777777" w:rsidTr="00FB1152">
        <w:trPr>
          <w:jc w:val="center"/>
        </w:trPr>
        <w:tc>
          <w:tcPr>
            <w:tcW w:w="1833" w:type="dxa"/>
            <w:vMerge/>
            <w:vAlign w:val="center"/>
          </w:tcPr>
          <w:p w14:paraId="21C01698" w14:textId="77777777" w:rsidR="00EE3914" w:rsidRDefault="00EE3914" w:rsidP="00EE3914">
            <w:pPr>
              <w:pStyle w:val="afffffffff9"/>
            </w:pPr>
          </w:p>
        </w:tc>
        <w:tc>
          <w:tcPr>
            <w:tcW w:w="1985" w:type="dxa"/>
          </w:tcPr>
          <w:p w14:paraId="612F7E63" w14:textId="638696A8" w:rsidR="00EE3914" w:rsidRDefault="00EE3914" w:rsidP="00EE3914">
            <w:pPr>
              <w:pStyle w:val="afffffffff9"/>
            </w:pPr>
            <w:r>
              <w:rPr>
                <w:rFonts w:hAnsi="宋体" w:hint="eastAsia"/>
                <w:szCs w:val="18"/>
              </w:rPr>
              <w:t>氢、电</w:t>
            </w:r>
          </w:p>
        </w:tc>
        <w:tc>
          <w:tcPr>
            <w:tcW w:w="5516" w:type="dxa"/>
          </w:tcPr>
          <w:p w14:paraId="76108C81" w14:textId="33E5F9C5" w:rsidR="00EE3914" w:rsidRDefault="00EE3914" w:rsidP="00EE3914">
            <w:pPr>
              <w:pStyle w:val="afffffffff9"/>
            </w:pPr>
            <w:r>
              <w:rPr>
                <w:rFonts w:hAnsi="宋体" w:hint="eastAsia"/>
                <w:szCs w:val="18"/>
              </w:rPr>
              <w:t>氢能源、充电或换电</w:t>
            </w:r>
          </w:p>
        </w:tc>
      </w:tr>
    </w:tbl>
    <w:p w14:paraId="734E0F7D" w14:textId="77777777" w:rsidR="00EE3914" w:rsidRDefault="00EE3914" w:rsidP="00EE3914">
      <w:pPr>
        <w:pStyle w:val="affffb"/>
        <w:ind w:firstLineChars="0" w:firstLine="0"/>
      </w:pPr>
    </w:p>
    <w:p w14:paraId="3E69C2C1" w14:textId="554A5EF1" w:rsidR="00EE3914" w:rsidRDefault="00EE3914" w:rsidP="00EE3914">
      <w:pPr>
        <w:pStyle w:val="affffffffe"/>
      </w:pPr>
      <w:r w:rsidRPr="00EE3914">
        <w:rPr>
          <w:rFonts w:hint="eastAsia"/>
        </w:rPr>
        <w:t>达到一级汽车加油加气加氢站、CNG加气母站规模的综合能源站严禁设置于城市中心区。</w:t>
      </w:r>
    </w:p>
    <w:p w14:paraId="13313D94" w14:textId="1C77F9FF" w:rsidR="00EE3914" w:rsidRDefault="00EE3914" w:rsidP="00EE3914">
      <w:pPr>
        <w:pStyle w:val="affffffffe"/>
      </w:pPr>
      <w:r w:rsidRPr="00EE3914">
        <w:rPr>
          <w:rFonts w:hint="eastAsia"/>
        </w:rPr>
        <w:t>综合能源站内的加油加气、加氢、</w:t>
      </w:r>
      <w:proofErr w:type="gramStart"/>
      <w:r w:rsidRPr="00EE3914">
        <w:rPr>
          <w:rFonts w:hint="eastAsia"/>
        </w:rPr>
        <w:t>充换电站</w:t>
      </w:r>
      <w:proofErr w:type="gramEnd"/>
      <w:r w:rsidRPr="00EE3914">
        <w:rPr>
          <w:rFonts w:hint="eastAsia"/>
        </w:rPr>
        <w:t>应分区布置</w:t>
      </w:r>
      <w:r>
        <w:rPr>
          <w:rFonts w:hint="eastAsia"/>
        </w:rPr>
        <w:t>。</w:t>
      </w:r>
    </w:p>
    <w:p w14:paraId="478F6F49" w14:textId="35573DF0" w:rsidR="00EE3914" w:rsidRDefault="00EE3914" w:rsidP="00EE3914">
      <w:pPr>
        <w:pStyle w:val="affffffffe"/>
      </w:pPr>
      <w:r w:rsidRPr="00EE3914">
        <w:rPr>
          <w:rFonts w:hint="eastAsia"/>
        </w:rPr>
        <w:t>加油加</w:t>
      </w:r>
      <w:proofErr w:type="gramStart"/>
      <w:r w:rsidRPr="00EE3914">
        <w:rPr>
          <w:rFonts w:hint="eastAsia"/>
        </w:rPr>
        <w:t>气区域</w:t>
      </w:r>
      <w:proofErr w:type="gramEnd"/>
      <w:r w:rsidRPr="00EE3914">
        <w:rPr>
          <w:rFonts w:hint="eastAsia"/>
        </w:rPr>
        <w:t>内设施、建筑之间的防火间距应符合GB</w:t>
      </w:r>
      <w:r>
        <w:rPr>
          <w:rFonts w:hint="eastAsia"/>
        </w:rPr>
        <w:t xml:space="preserve"> </w:t>
      </w:r>
      <w:r w:rsidRPr="00EE3914">
        <w:rPr>
          <w:rFonts w:hint="eastAsia"/>
        </w:rPr>
        <w:t>50156的规定。</w:t>
      </w:r>
    </w:p>
    <w:p w14:paraId="47324FED" w14:textId="4D95A7BA" w:rsidR="00EE3914" w:rsidRDefault="00EE3914" w:rsidP="00EE3914">
      <w:pPr>
        <w:pStyle w:val="affffffffe"/>
      </w:pPr>
      <w:r w:rsidRPr="00EE3914">
        <w:rPr>
          <w:rFonts w:hint="eastAsia"/>
        </w:rPr>
        <w:t>加氢区域内设施、建筑之间的防火间距应符合GB</w:t>
      </w:r>
      <w:r>
        <w:rPr>
          <w:rFonts w:hint="eastAsia"/>
        </w:rPr>
        <w:t xml:space="preserve"> </w:t>
      </w:r>
      <w:r w:rsidRPr="00EE3914">
        <w:rPr>
          <w:rFonts w:hint="eastAsia"/>
        </w:rPr>
        <w:t>50516的规定。</w:t>
      </w:r>
    </w:p>
    <w:p w14:paraId="0BDA8AFE" w14:textId="3A6F66EB" w:rsidR="00EE3914" w:rsidRDefault="00EE3914" w:rsidP="00EE3914">
      <w:pPr>
        <w:pStyle w:val="affffffffe"/>
      </w:pPr>
      <w:r w:rsidRPr="00EE3914">
        <w:rPr>
          <w:rFonts w:hint="eastAsia"/>
        </w:rPr>
        <w:t>加氢区域的工艺设施与加油加气区域、</w:t>
      </w:r>
      <w:proofErr w:type="gramStart"/>
      <w:r w:rsidRPr="00EE3914">
        <w:rPr>
          <w:rFonts w:hint="eastAsia"/>
        </w:rPr>
        <w:t>充换电区域</w:t>
      </w:r>
      <w:proofErr w:type="gramEnd"/>
      <w:r w:rsidRPr="00EE3914">
        <w:rPr>
          <w:rFonts w:hint="eastAsia"/>
        </w:rPr>
        <w:t>的防火间距不应小于25m；</w:t>
      </w:r>
      <w:proofErr w:type="gramStart"/>
      <w:r w:rsidRPr="00EE3914">
        <w:rPr>
          <w:rFonts w:hint="eastAsia"/>
        </w:rPr>
        <w:t>充换电区域</w:t>
      </w:r>
      <w:proofErr w:type="gramEnd"/>
      <w:r w:rsidRPr="00EE3914">
        <w:rPr>
          <w:rFonts w:hint="eastAsia"/>
        </w:rPr>
        <w:t>的工艺设施与加油加</w:t>
      </w:r>
      <w:proofErr w:type="gramStart"/>
      <w:r w:rsidRPr="00EE3914">
        <w:rPr>
          <w:rFonts w:hint="eastAsia"/>
        </w:rPr>
        <w:t>气区域</w:t>
      </w:r>
      <w:proofErr w:type="gramEnd"/>
      <w:r w:rsidRPr="00EE3914">
        <w:rPr>
          <w:rFonts w:hint="eastAsia"/>
        </w:rPr>
        <w:t>的工艺设施的防火间距不应小于25m；确有困难的，相邻一侧应设置高度不低于2.5m且不低于设施外轮廓1m的不燃烧实体围墙。</w:t>
      </w:r>
    </w:p>
    <w:p w14:paraId="7246E136" w14:textId="3876F0F8" w:rsidR="00EE3914" w:rsidRDefault="00EE3914" w:rsidP="00EE3914">
      <w:pPr>
        <w:pStyle w:val="affffffffe"/>
      </w:pPr>
      <w:proofErr w:type="gramStart"/>
      <w:r w:rsidRPr="00EE3914">
        <w:rPr>
          <w:rFonts w:hint="eastAsia"/>
        </w:rPr>
        <w:t>充换电站</w:t>
      </w:r>
      <w:proofErr w:type="gramEnd"/>
      <w:r w:rsidRPr="00EE3914">
        <w:rPr>
          <w:rFonts w:hint="eastAsia"/>
        </w:rPr>
        <w:t>区域设置多个换电主站房的，换电主站房之间的防火间距不应小于10m；采用防火墙进行分隔的，防火墙两侧的长度、高度应分别超出换电主站房外廓1m及以上。</w:t>
      </w:r>
    </w:p>
    <w:p w14:paraId="5416176C" w14:textId="1E3A9FAB" w:rsidR="00EE3914" w:rsidRDefault="00EE3914" w:rsidP="00EE3914">
      <w:pPr>
        <w:pStyle w:val="affffffffe"/>
      </w:pPr>
      <w:r w:rsidRPr="00EE3914">
        <w:rPr>
          <w:rFonts w:hint="eastAsia"/>
        </w:rPr>
        <w:t>预装式变电站</w:t>
      </w:r>
      <w:proofErr w:type="gramStart"/>
      <w:r w:rsidRPr="00EE3914">
        <w:rPr>
          <w:rFonts w:hint="eastAsia"/>
        </w:rPr>
        <w:t>与换电</w:t>
      </w:r>
      <w:proofErr w:type="gramEnd"/>
      <w:r w:rsidRPr="00EE3914">
        <w:rPr>
          <w:rFonts w:hint="eastAsia"/>
        </w:rPr>
        <w:t>主站房的防火间距不应小于6m。</w:t>
      </w:r>
    </w:p>
    <w:p w14:paraId="39970C30" w14:textId="619E5796" w:rsidR="00EE3914" w:rsidRDefault="00EE3914" w:rsidP="00EE3914">
      <w:pPr>
        <w:pStyle w:val="affffffffe"/>
      </w:pPr>
      <w:r w:rsidRPr="00EE3914">
        <w:rPr>
          <w:rFonts w:hint="eastAsia"/>
        </w:rPr>
        <w:t>供</w:t>
      </w:r>
      <w:proofErr w:type="gramStart"/>
      <w:r w:rsidRPr="00EE3914">
        <w:rPr>
          <w:rFonts w:hint="eastAsia"/>
        </w:rPr>
        <w:t>氢设施宜</w:t>
      </w:r>
      <w:proofErr w:type="gramEnd"/>
      <w:r w:rsidRPr="00EE3914">
        <w:rPr>
          <w:rFonts w:hint="eastAsia"/>
        </w:rPr>
        <w:t>布置在综合能源站常年最小频率风向的下风侧，并应远离有明火或散发火花的地点。</w:t>
      </w:r>
    </w:p>
    <w:p w14:paraId="2D87E86F" w14:textId="5F6D4B65" w:rsidR="00EE3914" w:rsidRDefault="00EE3914" w:rsidP="00EE3914">
      <w:pPr>
        <w:pStyle w:val="affffffffe"/>
      </w:pPr>
      <w:r w:rsidRPr="00EE3914">
        <w:rPr>
          <w:rFonts w:hint="eastAsia"/>
        </w:rPr>
        <w:t>供</w:t>
      </w:r>
      <w:proofErr w:type="gramStart"/>
      <w:r w:rsidRPr="00EE3914">
        <w:rPr>
          <w:rFonts w:hint="eastAsia"/>
        </w:rPr>
        <w:t>氢设施宜</w:t>
      </w:r>
      <w:proofErr w:type="gramEnd"/>
      <w:r w:rsidRPr="00EE3914">
        <w:rPr>
          <w:rFonts w:hint="eastAsia"/>
        </w:rPr>
        <w:t>设置</w:t>
      </w:r>
      <w:proofErr w:type="gramStart"/>
      <w:r w:rsidRPr="00EE3914">
        <w:rPr>
          <w:rFonts w:hint="eastAsia"/>
        </w:rPr>
        <w:t>不</w:t>
      </w:r>
      <w:proofErr w:type="gramEnd"/>
      <w:r w:rsidRPr="00EE3914">
        <w:rPr>
          <w:rFonts w:hint="eastAsia"/>
        </w:rPr>
        <w:t>燃烧体的实体围墙与其他部位分隔，其高度不应小于2.5m。</w:t>
      </w:r>
    </w:p>
    <w:p w14:paraId="48223C73" w14:textId="57AE8CD9" w:rsidR="00EE3914" w:rsidRDefault="00EE3914" w:rsidP="00EE3914">
      <w:pPr>
        <w:pStyle w:val="affffffffe"/>
      </w:pPr>
      <w:r w:rsidRPr="00EE3914">
        <w:rPr>
          <w:rFonts w:hint="eastAsia"/>
        </w:rPr>
        <w:t>供</w:t>
      </w:r>
      <w:proofErr w:type="gramStart"/>
      <w:r w:rsidRPr="00EE3914">
        <w:rPr>
          <w:rFonts w:hint="eastAsia"/>
        </w:rPr>
        <w:t>氢设施</w:t>
      </w:r>
      <w:proofErr w:type="gramEnd"/>
      <w:r w:rsidRPr="00EE3914">
        <w:rPr>
          <w:rFonts w:hint="eastAsia"/>
        </w:rPr>
        <w:t>与站外高层建筑、重要公共建筑、人员密集场所的防火间距不应小于50m，与明火或散发火花地点的防火间距不应小于30m，与住宅等其他站外民用建筑的间距不应小于25m。</w:t>
      </w:r>
    </w:p>
    <w:p w14:paraId="71343B87" w14:textId="117D8459" w:rsidR="00EE3914" w:rsidRDefault="00EE3914" w:rsidP="00EE3914">
      <w:pPr>
        <w:pStyle w:val="affffffffe"/>
      </w:pPr>
      <w:r w:rsidRPr="00EE3914">
        <w:rPr>
          <w:rFonts w:hint="eastAsia"/>
        </w:rPr>
        <w:t>额定容量不小于500kWh的锂离子电池储能设施与站外高层建筑、重要公共建筑、人员密集场所的防火间距不应小于50m，与明火或散发火花地点的防火间距不应小于30m，与住宅等其他站外民用建筑的间距不应小于25m。</w:t>
      </w:r>
    </w:p>
    <w:p w14:paraId="4B65F497" w14:textId="3DB4D0E3" w:rsidR="00EE3914" w:rsidRDefault="00EE3914" w:rsidP="00EE3914">
      <w:pPr>
        <w:pStyle w:val="affffffffe"/>
      </w:pPr>
      <w:r w:rsidRPr="00EE3914">
        <w:rPr>
          <w:rFonts w:hint="eastAsia"/>
        </w:rPr>
        <w:t>综合能源站的变配电间、室外变压器、变压器舱室、充电桩等新能源充电设施不应布置在加油加气作业区内。</w:t>
      </w:r>
    </w:p>
    <w:p w14:paraId="2AE3DC7A" w14:textId="4584B8B2" w:rsidR="00EE3914" w:rsidRDefault="00EE3914" w:rsidP="00EE3914">
      <w:pPr>
        <w:pStyle w:val="affffffffe"/>
      </w:pPr>
      <w:r w:rsidRPr="00EE3914">
        <w:rPr>
          <w:rFonts w:hint="eastAsia"/>
        </w:rPr>
        <w:t>综合能源站的作业区、辅助服务区应分区布置。</w:t>
      </w:r>
    </w:p>
    <w:p w14:paraId="3640C258" w14:textId="2D3CF564" w:rsidR="00EE3914" w:rsidRDefault="00EE3914" w:rsidP="00EE3914">
      <w:pPr>
        <w:pStyle w:val="affffffffe"/>
      </w:pPr>
      <w:r w:rsidRPr="00EE3914">
        <w:rPr>
          <w:rFonts w:hint="eastAsia"/>
        </w:rPr>
        <w:t>综合能源站作业区内不应设置餐饮、汽车修理服务等可能散发火花的功能。</w:t>
      </w:r>
    </w:p>
    <w:p w14:paraId="0EF84177" w14:textId="073ACDDE" w:rsidR="00EE3914" w:rsidRDefault="00EE3914" w:rsidP="00EE3914">
      <w:pPr>
        <w:pStyle w:val="affffffffe"/>
      </w:pPr>
      <w:r w:rsidRPr="00EE3914">
        <w:rPr>
          <w:rFonts w:hint="eastAsia"/>
        </w:rPr>
        <w:t>综合能源站的爆炸危险区域，不应超出站区围墙和可用地边界。爆炸危险区域的等级和范围划分应符合GB50156的规定。</w:t>
      </w:r>
    </w:p>
    <w:p w14:paraId="4D98F695" w14:textId="6ED32C4C" w:rsidR="00EE3914" w:rsidRDefault="00EE3914" w:rsidP="00EE3914">
      <w:pPr>
        <w:pStyle w:val="affffffffe"/>
      </w:pPr>
      <w:r w:rsidRPr="00EE3914">
        <w:rPr>
          <w:rFonts w:hint="eastAsia"/>
        </w:rPr>
        <w:t>综合能源站内不应设置存放甲、乙类火灾危险性物品的房间。</w:t>
      </w:r>
    </w:p>
    <w:p w14:paraId="52155F93" w14:textId="7AF5481C" w:rsidR="00EE3914" w:rsidRDefault="00EE3914" w:rsidP="00EE3914">
      <w:pPr>
        <w:pStyle w:val="affffffffe"/>
      </w:pPr>
      <w:r w:rsidRPr="00EE3914">
        <w:rPr>
          <w:rFonts w:hint="eastAsia"/>
        </w:rPr>
        <w:t>综合能源站作业区内可能散发可燃气体的设施，宜布置在综合能源站的全年最小频率风向的上风侧。</w:t>
      </w:r>
    </w:p>
    <w:p w14:paraId="5E06484D" w14:textId="7AC12A5C" w:rsidR="00EE3914" w:rsidRDefault="00EE3914" w:rsidP="00EE3914">
      <w:pPr>
        <w:pStyle w:val="affffffffe"/>
      </w:pPr>
      <w:r w:rsidRPr="00EE3914">
        <w:rPr>
          <w:rFonts w:hint="eastAsia"/>
        </w:rPr>
        <w:t>综合能源站的进出</w:t>
      </w:r>
      <w:proofErr w:type="gramStart"/>
      <w:r w:rsidRPr="00EE3914">
        <w:rPr>
          <w:rFonts w:hint="eastAsia"/>
        </w:rPr>
        <w:t>站道路</w:t>
      </w:r>
      <w:proofErr w:type="gramEnd"/>
      <w:r w:rsidRPr="00EE3914">
        <w:rPr>
          <w:rFonts w:hint="eastAsia"/>
        </w:rPr>
        <w:t>应与站外市政道路应顺畅衔接，道路宽度不应小于4m；站内电动汽车在停车位充电时不应妨碍消防车辆通行。</w:t>
      </w:r>
    </w:p>
    <w:p w14:paraId="4EC74770" w14:textId="2EE101B0" w:rsidR="00EE3914" w:rsidRDefault="00C963BC" w:rsidP="00C963BC">
      <w:pPr>
        <w:pStyle w:val="affc"/>
        <w:spacing w:before="240" w:after="240"/>
      </w:pPr>
      <w:bookmarkStart w:id="47" w:name="_Toc227678920"/>
      <w:r>
        <w:rPr>
          <w:rFonts w:hint="eastAsia"/>
        </w:rPr>
        <w:t>能源设施布置</w:t>
      </w:r>
      <w:bookmarkEnd w:id="47"/>
    </w:p>
    <w:p w14:paraId="4925F04B" w14:textId="5A6C15A3" w:rsidR="00C963BC" w:rsidRDefault="00C963BC" w:rsidP="00C963BC">
      <w:pPr>
        <w:pStyle w:val="affffffffe"/>
      </w:pPr>
      <w:r w:rsidRPr="00C963BC">
        <w:rPr>
          <w:rFonts w:hint="eastAsia"/>
        </w:rPr>
        <w:t>综合能源站的耐火等级至少不应低于二级。</w:t>
      </w:r>
    </w:p>
    <w:p w14:paraId="606E6902" w14:textId="1A1A88AE" w:rsidR="00C963BC" w:rsidRDefault="00C963BC" w:rsidP="00C963BC">
      <w:pPr>
        <w:pStyle w:val="affffffffe"/>
      </w:pPr>
      <w:r w:rsidRPr="00C963BC">
        <w:rPr>
          <w:rFonts w:hint="eastAsia"/>
        </w:rPr>
        <w:t>综合能源站的罩棚应采用不燃烧材料建造，罩棚顶棚可采用无防火保护的钢结构。</w:t>
      </w:r>
    </w:p>
    <w:p w14:paraId="1321E347" w14:textId="34E9685F" w:rsidR="00C963BC" w:rsidRDefault="00C963BC" w:rsidP="00C963BC">
      <w:pPr>
        <w:pStyle w:val="affffffffe"/>
      </w:pPr>
      <w:proofErr w:type="gramStart"/>
      <w:r w:rsidRPr="00C963BC">
        <w:rPr>
          <w:rFonts w:hint="eastAsia"/>
        </w:rPr>
        <w:t>除撬装</w:t>
      </w:r>
      <w:proofErr w:type="gramEnd"/>
      <w:r w:rsidRPr="00C963BC">
        <w:rPr>
          <w:rFonts w:hint="eastAsia"/>
        </w:rPr>
        <w:t>式加油装置所配置的防火防爆油罐外，综合能源站的汽油罐和柴油</w:t>
      </w:r>
      <w:proofErr w:type="gramStart"/>
      <w:r w:rsidRPr="00C963BC">
        <w:rPr>
          <w:rFonts w:hint="eastAsia"/>
        </w:rPr>
        <w:t>罐应埋</w:t>
      </w:r>
      <w:proofErr w:type="gramEnd"/>
      <w:r w:rsidRPr="00C963BC">
        <w:rPr>
          <w:rFonts w:hint="eastAsia"/>
        </w:rPr>
        <w:t>地设置，严禁设在室内或者地下室。</w:t>
      </w:r>
    </w:p>
    <w:p w14:paraId="10E1B9A7" w14:textId="0D3208EE" w:rsidR="00C963BC" w:rsidRDefault="00C963BC" w:rsidP="00C963BC">
      <w:pPr>
        <w:pStyle w:val="affffffffe"/>
      </w:pPr>
      <w:r w:rsidRPr="00C963BC">
        <w:rPr>
          <w:rFonts w:hint="eastAsia"/>
        </w:rPr>
        <w:t>综合能源站加油区块中的工艺管道除必须露出地面的以外，均应埋地敷设。当采用管沟敷设时，管</w:t>
      </w:r>
      <w:proofErr w:type="gramStart"/>
      <w:r w:rsidRPr="00C963BC">
        <w:rPr>
          <w:rFonts w:hint="eastAsia"/>
        </w:rPr>
        <w:t>沟必须</w:t>
      </w:r>
      <w:proofErr w:type="gramEnd"/>
      <w:r w:rsidRPr="00C963BC">
        <w:rPr>
          <w:rFonts w:hint="eastAsia"/>
        </w:rPr>
        <w:t>用中性沙子或细土填满、填实。</w:t>
      </w:r>
    </w:p>
    <w:p w14:paraId="25553E21" w14:textId="22FFE9CC" w:rsidR="00C963BC" w:rsidRDefault="00C963BC" w:rsidP="00C963BC">
      <w:pPr>
        <w:pStyle w:val="affffffffe"/>
      </w:pPr>
      <w:r w:rsidRPr="00C963BC">
        <w:rPr>
          <w:rFonts w:hint="eastAsia"/>
        </w:rPr>
        <w:t>综合能源站的加油机不得设置在室内。</w:t>
      </w:r>
    </w:p>
    <w:p w14:paraId="5B7D3821" w14:textId="6865173C" w:rsidR="00C963BC" w:rsidRDefault="00C963BC" w:rsidP="00C963BC">
      <w:pPr>
        <w:pStyle w:val="affffffffe"/>
      </w:pPr>
      <w:r w:rsidRPr="00C963BC">
        <w:rPr>
          <w:rFonts w:hint="eastAsia"/>
        </w:rPr>
        <w:t>综合能源站的油罐车卸油应采用密闭卸油方式。</w:t>
      </w:r>
    </w:p>
    <w:p w14:paraId="58FE7AA3" w14:textId="7F4C64BB" w:rsidR="00C963BC" w:rsidRDefault="00C963BC" w:rsidP="00C963BC">
      <w:pPr>
        <w:pStyle w:val="affffffffe"/>
      </w:pPr>
      <w:r w:rsidRPr="00C963BC">
        <w:rPr>
          <w:rFonts w:hint="eastAsia"/>
        </w:rPr>
        <w:t>不符合防爆要求的柴油尾气处理液加注设施应布置在作业区之外，符合防爆要求的柴油尾气处理液加注设施可按柴油加油机设置。</w:t>
      </w:r>
    </w:p>
    <w:p w14:paraId="22953D26" w14:textId="245CBEDD" w:rsidR="00C963BC" w:rsidRDefault="00C963BC" w:rsidP="00C963BC">
      <w:pPr>
        <w:pStyle w:val="affffffffe"/>
      </w:pPr>
      <w:r w:rsidRPr="00C963BC">
        <w:rPr>
          <w:rFonts w:hint="eastAsia"/>
        </w:rPr>
        <w:t>CNG储气瓶（组）的管道接口端不宜朝向办公区、</w:t>
      </w:r>
      <w:proofErr w:type="gramStart"/>
      <w:r w:rsidRPr="00C963BC">
        <w:rPr>
          <w:rFonts w:hint="eastAsia"/>
        </w:rPr>
        <w:t>加气岛和</w:t>
      </w:r>
      <w:proofErr w:type="gramEnd"/>
      <w:r w:rsidRPr="00C963BC">
        <w:rPr>
          <w:rFonts w:hint="eastAsia"/>
        </w:rPr>
        <w:t>临近的站外建筑物。不可避免时应设厚度不小于0.2m的钢筋混凝土实体隔墙。</w:t>
      </w:r>
    </w:p>
    <w:p w14:paraId="6ADC802B" w14:textId="65CA3264" w:rsidR="00C963BC" w:rsidRDefault="00C963BC" w:rsidP="00C963BC">
      <w:pPr>
        <w:pStyle w:val="affffffffe"/>
      </w:pPr>
      <w:r w:rsidRPr="00C963BC">
        <w:rPr>
          <w:rFonts w:hint="eastAsia"/>
        </w:rPr>
        <w:t>CNG储气瓶（组）的管道接口端不宜朝向办公区、</w:t>
      </w:r>
      <w:proofErr w:type="gramStart"/>
      <w:r w:rsidRPr="00C963BC">
        <w:rPr>
          <w:rFonts w:hint="eastAsia"/>
        </w:rPr>
        <w:t>加气岛和</w:t>
      </w:r>
      <w:proofErr w:type="gramEnd"/>
      <w:r w:rsidRPr="00C963BC">
        <w:rPr>
          <w:rFonts w:hint="eastAsia"/>
        </w:rPr>
        <w:t>临近的站外建筑物。不可避免时应设厚度不小于0.2m的钢筋混凝土实体隔墙。</w:t>
      </w:r>
    </w:p>
    <w:p w14:paraId="2CAC2577" w14:textId="42634EA3" w:rsidR="00C963BC" w:rsidRDefault="00C963BC" w:rsidP="00C963BC">
      <w:pPr>
        <w:pStyle w:val="affffffffe"/>
      </w:pPr>
      <w:r w:rsidRPr="00C963BC">
        <w:rPr>
          <w:rFonts w:hint="eastAsia"/>
        </w:rPr>
        <w:t>综合</w:t>
      </w:r>
      <w:proofErr w:type="gramStart"/>
      <w:r w:rsidRPr="00C963BC">
        <w:rPr>
          <w:rFonts w:hint="eastAsia"/>
        </w:rPr>
        <w:t>能源站宜将</w:t>
      </w:r>
      <w:proofErr w:type="gramEnd"/>
      <w:r w:rsidRPr="00C963BC">
        <w:rPr>
          <w:rFonts w:hint="eastAsia"/>
        </w:rPr>
        <w:t>柴油罐布置在储氢、储气设施与汽油罐之间。</w:t>
      </w:r>
    </w:p>
    <w:p w14:paraId="3123436E" w14:textId="59568188" w:rsidR="00C963BC" w:rsidRDefault="00C963BC" w:rsidP="00C963BC">
      <w:pPr>
        <w:pStyle w:val="affffffffe"/>
      </w:pPr>
      <w:r w:rsidRPr="00C963BC">
        <w:rPr>
          <w:rFonts w:hint="eastAsia"/>
        </w:rPr>
        <w:t>综合</w:t>
      </w:r>
      <w:proofErr w:type="gramStart"/>
      <w:r w:rsidRPr="00C963BC">
        <w:rPr>
          <w:rFonts w:hint="eastAsia"/>
        </w:rPr>
        <w:t>能源站加气</w:t>
      </w:r>
      <w:proofErr w:type="gramEnd"/>
      <w:r w:rsidRPr="00C963BC">
        <w:rPr>
          <w:rFonts w:hint="eastAsia"/>
        </w:rPr>
        <w:t>、加氢罩棚内表面应平整，坡向外侧且不得积聚氢气。</w:t>
      </w:r>
    </w:p>
    <w:p w14:paraId="579FCAE4" w14:textId="5A7651F1" w:rsidR="00C963BC" w:rsidRDefault="00C963BC" w:rsidP="00C963BC">
      <w:pPr>
        <w:pStyle w:val="affffffffe"/>
      </w:pPr>
      <w:r w:rsidRPr="00C963BC">
        <w:rPr>
          <w:rFonts w:hint="eastAsia"/>
        </w:rPr>
        <w:lastRenderedPageBreak/>
        <w:t>综合能源站加氢站和加氢合建站有爆炸危险区域内的地坪，应采用不发生火花地面。</w:t>
      </w:r>
    </w:p>
    <w:p w14:paraId="68CAB232" w14:textId="3057084D" w:rsidR="00C963BC" w:rsidRDefault="00C963BC" w:rsidP="00C963BC">
      <w:pPr>
        <w:pStyle w:val="affffffffe"/>
      </w:pPr>
      <w:r w:rsidRPr="00C963BC">
        <w:rPr>
          <w:rFonts w:hint="eastAsia"/>
        </w:rPr>
        <w:t>氢气长管拖车</w:t>
      </w:r>
      <w:proofErr w:type="gramStart"/>
      <w:r w:rsidRPr="00C963BC">
        <w:rPr>
          <w:rFonts w:hint="eastAsia"/>
        </w:rPr>
        <w:t>的卸气端应</w:t>
      </w:r>
      <w:proofErr w:type="gramEnd"/>
      <w:r w:rsidRPr="00C963BC">
        <w:rPr>
          <w:rFonts w:hint="eastAsia"/>
        </w:rPr>
        <w:t>设耐火极限不低于4.00h的防火墙，防火墙高度不得低于氢气长管拖车的高度，长度不应小于0.5与1.5倍氢气长管拖车位数之和与单个长管</w:t>
      </w:r>
      <w:proofErr w:type="gramStart"/>
      <w:r w:rsidRPr="00C963BC">
        <w:rPr>
          <w:rFonts w:hint="eastAsia"/>
        </w:rPr>
        <w:t>拖车位</w:t>
      </w:r>
      <w:proofErr w:type="gramEnd"/>
      <w:r w:rsidRPr="00C963BC">
        <w:rPr>
          <w:rFonts w:hint="eastAsia"/>
        </w:rPr>
        <w:t>宽度的乘积即（1.5×氢气长管拖车车位数+0.5）×车位宽度。</w:t>
      </w:r>
    </w:p>
    <w:p w14:paraId="54566935" w14:textId="3EC09EB1" w:rsidR="00C963BC" w:rsidRDefault="00C963BC" w:rsidP="00C963BC">
      <w:pPr>
        <w:pStyle w:val="affffffffe"/>
      </w:pPr>
      <w:r w:rsidRPr="00C963BC">
        <w:rPr>
          <w:rFonts w:hint="eastAsia"/>
        </w:rPr>
        <w:t>设置有储氢容器、氢气储气井、氢气压缩机的区域应设实体墙或栅栏与公众可进入区域隔离。实体墙或栅栏与加氢设施设备之间的距离不应小于0.8m。应使用不燃材料制作实体墙或栅栏，高度不应小于2m。</w:t>
      </w:r>
    </w:p>
    <w:p w14:paraId="750A40A0" w14:textId="6619CF61" w:rsidR="00C963BC" w:rsidRDefault="00C963BC" w:rsidP="00C963BC">
      <w:pPr>
        <w:pStyle w:val="affffffffe"/>
      </w:pPr>
      <w:r w:rsidRPr="00C963BC">
        <w:rPr>
          <w:rFonts w:hint="eastAsia"/>
        </w:rPr>
        <w:t>换</w:t>
      </w:r>
      <w:proofErr w:type="gramStart"/>
      <w:r w:rsidRPr="00C963BC">
        <w:rPr>
          <w:rFonts w:hint="eastAsia"/>
        </w:rPr>
        <w:t>电区域</w:t>
      </w:r>
      <w:proofErr w:type="gramEnd"/>
      <w:r w:rsidRPr="00C963BC">
        <w:rPr>
          <w:rFonts w:hint="eastAsia"/>
        </w:rPr>
        <w:t>应设有在紧急情况下人员安全撤离的通道</w:t>
      </w:r>
      <w:r>
        <w:rPr>
          <w:rFonts w:hint="eastAsia"/>
        </w:rPr>
        <w:t>。</w:t>
      </w:r>
    </w:p>
    <w:p w14:paraId="26CB9D5E" w14:textId="0EA5D3F7" w:rsidR="00C963BC" w:rsidRDefault="00C963BC" w:rsidP="00C963BC">
      <w:pPr>
        <w:pStyle w:val="affffffffe"/>
      </w:pPr>
      <w:r w:rsidRPr="00C963BC">
        <w:rPr>
          <w:rFonts w:hint="eastAsia"/>
        </w:rPr>
        <w:t>换</w:t>
      </w:r>
      <w:proofErr w:type="gramStart"/>
      <w:r w:rsidRPr="00C963BC">
        <w:rPr>
          <w:rFonts w:hint="eastAsia"/>
        </w:rPr>
        <w:t>电区域宜设置</w:t>
      </w:r>
      <w:proofErr w:type="gramEnd"/>
      <w:r w:rsidRPr="00C963BC">
        <w:rPr>
          <w:rFonts w:hint="eastAsia"/>
        </w:rPr>
        <w:t>临时停车场地。临时停车场地的大小应根据换电站的规模及进入站内的车流量进行合理考虑，其布置不应妨碍车辆的电池更换和正常通行。</w:t>
      </w:r>
    </w:p>
    <w:p w14:paraId="1C757D59" w14:textId="740C968B" w:rsidR="00C963BC" w:rsidRDefault="00C963BC" w:rsidP="00C963BC">
      <w:pPr>
        <w:pStyle w:val="affffffffe"/>
      </w:pPr>
      <w:r w:rsidRPr="00C963BC">
        <w:rPr>
          <w:rFonts w:hint="eastAsia"/>
        </w:rPr>
        <w:t>加油、加气、加氢、充电、换电作业区内，不得有“明火地点”或“散发火花地点”。当站内经营性餐饮、汽车服务、司机休息室等设施内设置明火设备时，应等同于“明火地点”或“散发火花地点”。</w:t>
      </w:r>
    </w:p>
    <w:p w14:paraId="11B249BE" w14:textId="0A5F3689" w:rsidR="00C963BC" w:rsidRDefault="00C963BC" w:rsidP="00C963BC">
      <w:pPr>
        <w:pStyle w:val="affffffffe"/>
      </w:pPr>
      <w:r w:rsidRPr="00C963BC">
        <w:rPr>
          <w:rFonts w:hint="eastAsia"/>
        </w:rPr>
        <w:t>综合能源站可采用</w:t>
      </w:r>
      <w:proofErr w:type="gramStart"/>
      <w:r w:rsidRPr="00C963BC">
        <w:rPr>
          <w:rFonts w:hint="eastAsia"/>
        </w:rPr>
        <w:t>设置站</w:t>
      </w:r>
      <w:proofErr w:type="gramEnd"/>
      <w:r w:rsidRPr="00C963BC">
        <w:rPr>
          <w:rFonts w:hint="eastAsia"/>
        </w:rPr>
        <w:t>房屋项、罩棚和辅助用房屋顶的屋顶光伏发电系统，但屋顶光伏发电系统应在防爆危险区域外。</w:t>
      </w:r>
    </w:p>
    <w:p w14:paraId="3085524C" w14:textId="4A05CBB9" w:rsidR="00C963BC" w:rsidRDefault="00C963BC" w:rsidP="00C963BC">
      <w:pPr>
        <w:pStyle w:val="affffffffe"/>
      </w:pPr>
      <w:r w:rsidRPr="00C963BC">
        <w:rPr>
          <w:rFonts w:hint="eastAsia"/>
        </w:rPr>
        <w:t>光伏发电的</w:t>
      </w:r>
      <w:proofErr w:type="gramStart"/>
      <w:r w:rsidRPr="00C963BC">
        <w:rPr>
          <w:rFonts w:hint="eastAsia"/>
        </w:rPr>
        <w:t>光伏板可</w:t>
      </w:r>
      <w:proofErr w:type="gramEnd"/>
      <w:r w:rsidRPr="00C963BC">
        <w:rPr>
          <w:rFonts w:hint="eastAsia"/>
        </w:rPr>
        <w:t>设置在建筑物、罩棚、充电棚上和站内空地，加氢罩棚上不宜设置光伏发电设备。</w:t>
      </w:r>
    </w:p>
    <w:p w14:paraId="51E5EA8E" w14:textId="223277FC" w:rsidR="00C963BC" w:rsidRDefault="00C963BC" w:rsidP="00C963BC">
      <w:pPr>
        <w:pStyle w:val="affffffffe"/>
      </w:pPr>
      <w:r w:rsidRPr="00C963BC">
        <w:rPr>
          <w:rFonts w:hint="eastAsia"/>
        </w:rPr>
        <w:t>当将现有站点改建为综合能源站时，宜尽量利用原有建构筑物内的闲置开间改造为所需功能间。</w:t>
      </w:r>
    </w:p>
    <w:p w14:paraId="060DB9AC" w14:textId="2E0C9F6F" w:rsidR="00C963BC" w:rsidRDefault="00C963BC" w:rsidP="00C963BC">
      <w:pPr>
        <w:pStyle w:val="affffffffe"/>
      </w:pPr>
      <w:r w:rsidRPr="00C963BC">
        <w:rPr>
          <w:rFonts w:hint="eastAsia"/>
        </w:rPr>
        <w:t>原有加油站扩建加气加氢时，对于原有建筑设备设施不满足现行和以前版本规范要求时，改建时应一并按合</w:t>
      </w:r>
      <w:proofErr w:type="gramStart"/>
      <w:r w:rsidRPr="00C963BC">
        <w:rPr>
          <w:rFonts w:hint="eastAsia"/>
        </w:rPr>
        <w:t>规</w:t>
      </w:r>
      <w:proofErr w:type="gramEnd"/>
      <w:r w:rsidRPr="00C963BC">
        <w:rPr>
          <w:rFonts w:hint="eastAsia"/>
        </w:rPr>
        <w:t>要求改建；若原有建筑设备设施不满足现行规范但满足以前版本规范时，可暂时不做改建。</w:t>
      </w:r>
    </w:p>
    <w:p w14:paraId="3FC1C998" w14:textId="6CBABFA5" w:rsidR="00C963BC" w:rsidRDefault="00C963BC" w:rsidP="00C963BC">
      <w:pPr>
        <w:pStyle w:val="affffffffe"/>
      </w:pPr>
      <w:r w:rsidRPr="00C963BC">
        <w:rPr>
          <w:rFonts w:hint="eastAsia"/>
        </w:rPr>
        <w:t>当在现有加油站增加</w:t>
      </w:r>
      <w:proofErr w:type="gramStart"/>
      <w:r w:rsidRPr="00C963BC">
        <w:rPr>
          <w:rFonts w:hint="eastAsia"/>
        </w:rPr>
        <w:t>加</w:t>
      </w:r>
      <w:proofErr w:type="gramEnd"/>
      <w:r w:rsidRPr="00C963BC">
        <w:rPr>
          <w:rFonts w:hint="eastAsia"/>
        </w:rPr>
        <w:t>气或加氢业务时，在确保不影响加油的情况下，宜尽量利用原有加油设施，合理布局。</w:t>
      </w:r>
    </w:p>
    <w:p w14:paraId="7FDCA030" w14:textId="51D246F0" w:rsidR="00C963BC" w:rsidRDefault="003D2500" w:rsidP="003D2500">
      <w:pPr>
        <w:pStyle w:val="affc"/>
        <w:spacing w:before="240" w:after="240"/>
      </w:pPr>
      <w:bookmarkStart w:id="48" w:name="_Toc227678921"/>
      <w:r>
        <w:rPr>
          <w:rFonts w:hint="eastAsia"/>
        </w:rPr>
        <w:t>电气设计</w:t>
      </w:r>
      <w:bookmarkEnd w:id="48"/>
    </w:p>
    <w:p w14:paraId="245616BD" w14:textId="12CE865A" w:rsidR="003D2500" w:rsidRDefault="003D2500" w:rsidP="003D2500">
      <w:pPr>
        <w:pStyle w:val="affffffffe"/>
      </w:pPr>
      <w:r w:rsidRPr="003D2500">
        <w:rPr>
          <w:rFonts w:hint="eastAsia"/>
        </w:rPr>
        <w:t>综合能源站供配电系统设计和布置应符合GB</w:t>
      </w:r>
      <w:r>
        <w:rPr>
          <w:rFonts w:hint="eastAsia"/>
        </w:rPr>
        <w:t xml:space="preserve"> </w:t>
      </w:r>
      <w:r w:rsidRPr="003D2500">
        <w:rPr>
          <w:rFonts w:hint="eastAsia"/>
        </w:rPr>
        <w:t>50052的规定，遵循安全、可靠、适用的原则，便于安装、操作、搬运、检修和调试。</w:t>
      </w:r>
    </w:p>
    <w:p w14:paraId="48FE34DF" w14:textId="79FB2A10" w:rsidR="003D2500" w:rsidRDefault="003D2500" w:rsidP="003D2500">
      <w:pPr>
        <w:pStyle w:val="affffffffe"/>
      </w:pPr>
      <w:r w:rsidRPr="003D2500">
        <w:rPr>
          <w:rFonts w:hint="eastAsia"/>
        </w:rPr>
        <w:t>新能源设施的用电负荷宜为三级，负荷等级应符合GB</w:t>
      </w:r>
      <w:r>
        <w:rPr>
          <w:rFonts w:hint="eastAsia"/>
        </w:rPr>
        <w:t xml:space="preserve"> </w:t>
      </w:r>
      <w:r w:rsidRPr="003D2500">
        <w:rPr>
          <w:rFonts w:hint="eastAsia"/>
        </w:rPr>
        <w:t>50016相关规定。</w:t>
      </w:r>
    </w:p>
    <w:p w14:paraId="24436E6D" w14:textId="10817370" w:rsidR="003D2500" w:rsidRDefault="003D2500" w:rsidP="003D2500">
      <w:pPr>
        <w:pStyle w:val="affffffffe"/>
      </w:pPr>
      <w:r w:rsidRPr="003D2500">
        <w:rPr>
          <w:rFonts w:hint="eastAsia"/>
        </w:rPr>
        <w:t>综合</w:t>
      </w:r>
      <w:proofErr w:type="gramStart"/>
      <w:r w:rsidRPr="003D2500">
        <w:rPr>
          <w:rFonts w:hint="eastAsia"/>
        </w:rPr>
        <w:t>能源站宜采用</w:t>
      </w:r>
      <w:proofErr w:type="gramEnd"/>
      <w:r w:rsidRPr="003D2500">
        <w:rPr>
          <w:rFonts w:hint="eastAsia"/>
        </w:rPr>
        <w:t>10kV单母线或单母线分段接线供电，用电设备在100kW以下或者变压器在50kVA以下，可用低压380/220V供电。站内控制系统、信息通信系统应设不间断供电电源。</w:t>
      </w:r>
    </w:p>
    <w:p w14:paraId="657F6953" w14:textId="51365BD1" w:rsidR="003D2500" w:rsidRDefault="003D2500" w:rsidP="003D2500">
      <w:pPr>
        <w:pStyle w:val="affffffffe"/>
      </w:pPr>
      <w:r w:rsidRPr="003D2500">
        <w:rPr>
          <w:rFonts w:hint="eastAsia"/>
        </w:rPr>
        <w:t>综合能源站用电系统电压宜采用380/220V。各区块供配电系统的布置在站房配电间内，变压器采用干式变，与低压开关柜设置在同一房间，</w:t>
      </w:r>
      <w:proofErr w:type="gramStart"/>
      <w:r w:rsidRPr="003D2500">
        <w:rPr>
          <w:rFonts w:hint="eastAsia"/>
        </w:rPr>
        <w:t>当场地</w:t>
      </w:r>
      <w:proofErr w:type="gramEnd"/>
      <w:r w:rsidRPr="003D2500">
        <w:rPr>
          <w:rFonts w:hint="eastAsia"/>
        </w:rPr>
        <w:t>受限时变压器可采用户外箱式成套配电站。充电机、交直流充电桩宜采用户外布置，</w:t>
      </w:r>
      <w:proofErr w:type="gramStart"/>
      <w:r w:rsidRPr="003D2500">
        <w:rPr>
          <w:rFonts w:hint="eastAsia"/>
        </w:rPr>
        <w:t>防护级不小于</w:t>
      </w:r>
      <w:proofErr w:type="gramEnd"/>
      <w:r w:rsidRPr="003D2500">
        <w:rPr>
          <w:rFonts w:hint="eastAsia"/>
        </w:rPr>
        <w:t>IP54。</w:t>
      </w:r>
    </w:p>
    <w:p w14:paraId="67B0A5A2" w14:textId="7388D407" w:rsidR="003D2500" w:rsidRDefault="003D2500" w:rsidP="003D2500">
      <w:pPr>
        <w:pStyle w:val="affffffffe"/>
      </w:pPr>
      <w:r w:rsidRPr="003D2500">
        <w:rPr>
          <w:rFonts w:hint="eastAsia"/>
        </w:rPr>
        <w:t>综合能源站的电缆宜采用直埋或穿管敷设。电缆进出建筑物、穿越行车道部分，应穿镀锌钢管保护。</w:t>
      </w:r>
    </w:p>
    <w:p w14:paraId="5B832E85" w14:textId="79620540" w:rsidR="003D2500" w:rsidRDefault="003D2500" w:rsidP="003D2500">
      <w:pPr>
        <w:pStyle w:val="affffffffe"/>
      </w:pPr>
      <w:r w:rsidRPr="003D2500">
        <w:rPr>
          <w:rFonts w:hint="eastAsia"/>
        </w:rPr>
        <w:t>当采用电缆沟敷设电缆时，加氢区块、加油区块、加气区块内的电缆沟必须充沙填实。电缆不得与油品、氢气、天然气管道以及热力管道敷设在同一沟内</w:t>
      </w:r>
      <w:r>
        <w:rPr>
          <w:rFonts w:hint="eastAsia"/>
        </w:rPr>
        <w:t>。</w:t>
      </w:r>
    </w:p>
    <w:p w14:paraId="1D1ADE94" w14:textId="194928D5" w:rsidR="003D2500" w:rsidRDefault="003D2500" w:rsidP="003D2500">
      <w:pPr>
        <w:pStyle w:val="affffffffe"/>
      </w:pPr>
      <w:r w:rsidRPr="003D2500">
        <w:rPr>
          <w:rFonts w:hint="eastAsia"/>
        </w:rPr>
        <w:t>爆炸危险区域内的电气设备选型、安装、电力线路敷设等，应符合GB</w:t>
      </w:r>
      <w:r w:rsidR="004D234D">
        <w:rPr>
          <w:rFonts w:hint="eastAsia"/>
        </w:rPr>
        <w:t xml:space="preserve"> </w:t>
      </w:r>
      <w:r w:rsidRPr="003D2500">
        <w:rPr>
          <w:rFonts w:hint="eastAsia"/>
        </w:rPr>
        <w:t>50058的规定。</w:t>
      </w:r>
    </w:p>
    <w:p w14:paraId="061A3B82" w14:textId="0CE1BEA1" w:rsidR="004D234D" w:rsidRDefault="004D234D" w:rsidP="004D234D">
      <w:pPr>
        <w:pStyle w:val="affc"/>
        <w:spacing w:before="240" w:after="240"/>
      </w:pPr>
      <w:bookmarkStart w:id="49" w:name="_Toc227678922"/>
      <w:r>
        <w:rPr>
          <w:rFonts w:hint="eastAsia"/>
        </w:rPr>
        <w:t>安全设施设计</w:t>
      </w:r>
      <w:bookmarkEnd w:id="49"/>
    </w:p>
    <w:p w14:paraId="212528EE" w14:textId="0D78204A" w:rsidR="004D234D" w:rsidRDefault="004D234D" w:rsidP="004D234D">
      <w:pPr>
        <w:pStyle w:val="affffffffe"/>
      </w:pPr>
      <w:r w:rsidRPr="004D234D">
        <w:rPr>
          <w:rFonts w:hint="eastAsia"/>
        </w:rPr>
        <w:t>综合能源站的报警、灭火等消防设施的设置应符合GB</w:t>
      </w:r>
      <w:r w:rsidR="00002135">
        <w:rPr>
          <w:rFonts w:hint="eastAsia"/>
        </w:rPr>
        <w:t xml:space="preserve"> </w:t>
      </w:r>
      <w:r w:rsidRPr="004D234D">
        <w:rPr>
          <w:rFonts w:hint="eastAsia"/>
        </w:rPr>
        <w:t>50156、GB</w:t>
      </w:r>
      <w:r w:rsidR="00002135">
        <w:rPr>
          <w:rFonts w:hint="eastAsia"/>
        </w:rPr>
        <w:t xml:space="preserve"> </w:t>
      </w:r>
      <w:r w:rsidRPr="004D234D">
        <w:rPr>
          <w:rFonts w:hint="eastAsia"/>
        </w:rPr>
        <w:t>50966、GB</w:t>
      </w:r>
      <w:r w:rsidR="00002135">
        <w:rPr>
          <w:rFonts w:hint="eastAsia"/>
        </w:rPr>
        <w:t xml:space="preserve"> </w:t>
      </w:r>
      <w:r w:rsidRPr="004D234D">
        <w:rPr>
          <w:rFonts w:hint="eastAsia"/>
        </w:rPr>
        <w:t>50516和GB/T</w:t>
      </w:r>
      <w:r w:rsidR="00002135">
        <w:rPr>
          <w:rFonts w:hint="eastAsia"/>
        </w:rPr>
        <w:t xml:space="preserve"> </w:t>
      </w:r>
      <w:r w:rsidRPr="004D234D">
        <w:rPr>
          <w:rFonts w:hint="eastAsia"/>
        </w:rPr>
        <w:t>51077等现行相关国家、行业标准的规定，现行标准未规定的，应采取经分析验证有效的技术措施。</w:t>
      </w:r>
    </w:p>
    <w:p w14:paraId="295C478D" w14:textId="1FF9C839" w:rsidR="004D234D" w:rsidRDefault="004D234D" w:rsidP="004D234D">
      <w:pPr>
        <w:pStyle w:val="affffffffe"/>
      </w:pPr>
      <w:r w:rsidRPr="004D234D">
        <w:rPr>
          <w:rFonts w:hint="eastAsia"/>
        </w:rPr>
        <w:t>综合能源站消防给水系统宜优先利用城市及邻近企业已建消防给水管网。当无外部依托时，应自建消防给水系统。</w:t>
      </w:r>
    </w:p>
    <w:p w14:paraId="77A60C15" w14:textId="4E6A64C8" w:rsidR="004D234D" w:rsidRDefault="004D234D" w:rsidP="004D234D">
      <w:pPr>
        <w:pStyle w:val="affffffffe"/>
      </w:pPr>
      <w:r w:rsidRPr="004D234D">
        <w:rPr>
          <w:rFonts w:hint="eastAsia"/>
        </w:rPr>
        <w:t>消防供电系统动力源为双回路电源，可全部采用电泵；若只有一路电源供电，可一台为电泵，一台为柴油机泵，也可全部采用柴油机泵。</w:t>
      </w:r>
    </w:p>
    <w:p w14:paraId="36589664" w14:textId="7C4E4836" w:rsidR="004D234D" w:rsidRDefault="004D234D" w:rsidP="004D234D">
      <w:pPr>
        <w:pStyle w:val="affffffffe"/>
      </w:pPr>
      <w:r w:rsidRPr="004D234D">
        <w:rPr>
          <w:rFonts w:hint="eastAsia"/>
        </w:rPr>
        <w:t>综合能源站应设消防给水。当储氢容器总容量大于10000m</w:t>
      </w:r>
      <w:r w:rsidRPr="00002135">
        <w:rPr>
          <w:rFonts w:hint="eastAsia"/>
          <w:vertAlign w:val="superscript"/>
        </w:rPr>
        <w:t>2</w:t>
      </w:r>
      <w:r w:rsidRPr="004D234D">
        <w:rPr>
          <w:rFonts w:hint="eastAsia"/>
        </w:rPr>
        <w:t>时，消火栓设计流量不应小于20L/s；当总容量小于等于10000m</w:t>
      </w:r>
      <w:r w:rsidRPr="00002135">
        <w:rPr>
          <w:rFonts w:hint="eastAsia"/>
          <w:vertAlign w:val="superscript"/>
        </w:rPr>
        <w:t>2</w:t>
      </w:r>
      <w:r w:rsidRPr="004D234D">
        <w:rPr>
          <w:rFonts w:hint="eastAsia"/>
        </w:rPr>
        <w:t>时，消火栓设计流量不应小于15L/s。连续供水时间不小于3h。消火栓供水压力应保证移动式水枪出口处水压不小于0.2MPa。</w:t>
      </w:r>
    </w:p>
    <w:p w14:paraId="3C336F88" w14:textId="0CCCDC04" w:rsidR="004D234D" w:rsidRDefault="004D234D" w:rsidP="004D234D">
      <w:pPr>
        <w:pStyle w:val="affffffffe"/>
      </w:pPr>
      <w:r w:rsidRPr="004D234D">
        <w:rPr>
          <w:rFonts w:hint="eastAsia"/>
        </w:rPr>
        <w:t>综合能源站汽车充电设施宜选用干粉灭火器。</w:t>
      </w:r>
    </w:p>
    <w:p w14:paraId="048D9A62" w14:textId="6709B88F" w:rsidR="004D234D" w:rsidRDefault="004D234D" w:rsidP="004D234D">
      <w:pPr>
        <w:pStyle w:val="affffffffe"/>
      </w:pPr>
      <w:r w:rsidRPr="004D234D">
        <w:rPr>
          <w:rFonts w:hint="eastAsia"/>
        </w:rPr>
        <w:lastRenderedPageBreak/>
        <w:t>综合能源站消防沙箱和消防器材箱布置应便于罐区、卸车区、加油区、</w:t>
      </w:r>
      <w:proofErr w:type="gramStart"/>
      <w:r w:rsidRPr="004D234D">
        <w:rPr>
          <w:rFonts w:hint="eastAsia"/>
        </w:rPr>
        <w:t>换电区的</w:t>
      </w:r>
      <w:proofErr w:type="gramEnd"/>
      <w:r w:rsidRPr="004D234D">
        <w:rPr>
          <w:rFonts w:hint="eastAsia"/>
        </w:rPr>
        <w:t>灭火扑救。换</w:t>
      </w:r>
      <w:proofErr w:type="gramStart"/>
      <w:r w:rsidRPr="004D234D">
        <w:rPr>
          <w:rFonts w:hint="eastAsia"/>
        </w:rPr>
        <w:t>电区域</w:t>
      </w:r>
      <w:proofErr w:type="gramEnd"/>
      <w:r w:rsidRPr="004D234D">
        <w:rPr>
          <w:rFonts w:hint="eastAsia"/>
        </w:rPr>
        <w:t>的消防沙箱或沙坑应靠近电池存放处布置。</w:t>
      </w:r>
    </w:p>
    <w:p w14:paraId="1888E596" w14:textId="5B28E746" w:rsidR="004D234D" w:rsidRDefault="004D234D" w:rsidP="004D234D">
      <w:pPr>
        <w:pStyle w:val="affffffffe"/>
      </w:pPr>
      <w:r w:rsidRPr="004D234D">
        <w:rPr>
          <w:rFonts w:hint="eastAsia"/>
        </w:rPr>
        <w:t>综合能源站的通风设施应与可燃气体浓度报警器</w:t>
      </w:r>
      <w:proofErr w:type="gramStart"/>
      <w:r w:rsidRPr="004D234D">
        <w:rPr>
          <w:rFonts w:hint="eastAsia"/>
        </w:rPr>
        <w:t>联锁</w:t>
      </w:r>
      <w:proofErr w:type="gramEnd"/>
      <w:r w:rsidRPr="004D234D">
        <w:rPr>
          <w:rFonts w:hint="eastAsia"/>
        </w:rPr>
        <w:t>，且在室内、外方</w:t>
      </w:r>
      <w:proofErr w:type="gramStart"/>
      <w:r w:rsidRPr="004D234D">
        <w:rPr>
          <w:rFonts w:hint="eastAsia"/>
        </w:rPr>
        <w:t>便操作</w:t>
      </w:r>
      <w:proofErr w:type="gramEnd"/>
      <w:r w:rsidRPr="004D234D">
        <w:rPr>
          <w:rFonts w:hint="eastAsia"/>
        </w:rPr>
        <w:t>地点分别设置手动操作按钮。</w:t>
      </w:r>
    </w:p>
    <w:p w14:paraId="37D89AE8" w14:textId="01358430" w:rsidR="004D234D" w:rsidRDefault="004D234D" w:rsidP="004D234D">
      <w:pPr>
        <w:pStyle w:val="affffffffe"/>
      </w:pPr>
      <w:r w:rsidRPr="004D234D">
        <w:rPr>
          <w:rFonts w:hint="eastAsia"/>
        </w:rPr>
        <w:t>综合能源站的燃气锅炉间等有爆炸危险的房间应设置事故通风，通风换气次数应符合相关规定。</w:t>
      </w:r>
    </w:p>
    <w:p w14:paraId="493BA7E6" w14:textId="36C6FA8E" w:rsidR="004D234D" w:rsidRDefault="004D234D" w:rsidP="004D234D">
      <w:pPr>
        <w:pStyle w:val="affffffffe"/>
      </w:pPr>
      <w:r w:rsidRPr="004D234D">
        <w:rPr>
          <w:rFonts w:hint="eastAsia"/>
        </w:rPr>
        <w:t>通风设施应与可燃气体浓度报警器</w:t>
      </w:r>
      <w:proofErr w:type="gramStart"/>
      <w:r w:rsidRPr="004D234D">
        <w:rPr>
          <w:rFonts w:hint="eastAsia"/>
        </w:rPr>
        <w:t>联锁</w:t>
      </w:r>
      <w:proofErr w:type="gramEnd"/>
      <w:r w:rsidRPr="004D234D">
        <w:rPr>
          <w:rFonts w:hint="eastAsia"/>
        </w:rPr>
        <w:t>，且在室内、外方</w:t>
      </w:r>
      <w:proofErr w:type="gramStart"/>
      <w:r w:rsidRPr="004D234D">
        <w:rPr>
          <w:rFonts w:hint="eastAsia"/>
        </w:rPr>
        <w:t>便操作</w:t>
      </w:r>
      <w:proofErr w:type="gramEnd"/>
      <w:r w:rsidRPr="004D234D">
        <w:rPr>
          <w:rFonts w:hint="eastAsia"/>
        </w:rPr>
        <w:t>地点分别设置手动操作按钮</w:t>
      </w:r>
      <w:r>
        <w:rPr>
          <w:rFonts w:hint="eastAsia"/>
        </w:rPr>
        <w:t>。</w:t>
      </w:r>
    </w:p>
    <w:p w14:paraId="6CC73966" w14:textId="4C9CA88B" w:rsidR="004D234D" w:rsidRDefault="004D234D" w:rsidP="004D234D">
      <w:pPr>
        <w:pStyle w:val="affffffffe"/>
      </w:pPr>
      <w:r w:rsidRPr="004D234D">
        <w:rPr>
          <w:rFonts w:hint="eastAsia"/>
        </w:rPr>
        <w:t>综合能源站的空调器不得在备餐间等产生油污的场所设置，室外机安装位置应避开爆炸危险区域。</w:t>
      </w:r>
    </w:p>
    <w:p w14:paraId="4AD9C3F3" w14:textId="661F5FDC" w:rsidR="004D234D" w:rsidRDefault="004D234D" w:rsidP="004D234D">
      <w:pPr>
        <w:pStyle w:val="affffffffe"/>
      </w:pPr>
      <w:r w:rsidRPr="004D234D">
        <w:rPr>
          <w:rFonts w:hint="eastAsia"/>
        </w:rPr>
        <w:t>综合能源站在爆炸风险区域应设置可燃气体探测器，可燃气体检测器和报警器的选用和安装应GB/T</w:t>
      </w:r>
      <w:r w:rsidR="00002135">
        <w:rPr>
          <w:rFonts w:hint="eastAsia"/>
        </w:rPr>
        <w:t xml:space="preserve"> </w:t>
      </w:r>
      <w:r w:rsidRPr="004D234D">
        <w:rPr>
          <w:rFonts w:hint="eastAsia"/>
        </w:rPr>
        <w:t>50493的规定。</w:t>
      </w:r>
    </w:p>
    <w:p w14:paraId="14C63744" w14:textId="153D542F" w:rsidR="004D234D" w:rsidRDefault="004D234D" w:rsidP="004D234D">
      <w:pPr>
        <w:pStyle w:val="affffffffe"/>
      </w:pPr>
      <w:r w:rsidRPr="004D234D">
        <w:rPr>
          <w:rFonts w:hint="eastAsia"/>
        </w:rPr>
        <w:t>综合能源站应设置紧急切断系统，紧急切断系统的设置应符合GB</w:t>
      </w:r>
      <w:r w:rsidR="00002135">
        <w:rPr>
          <w:rFonts w:hint="eastAsia"/>
        </w:rPr>
        <w:t xml:space="preserve"> </w:t>
      </w:r>
      <w:r w:rsidRPr="004D234D">
        <w:rPr>
          <w:rFonts w:hint="eastAsia"/>
        </w:rPr>
        <w:t>50156的规定。</w:t>
      </w:r>
    </w:p>
    <w:p w14:paraId="5075E92A" w14:textId="5F07CA90" w:rsidR="004D234D" w:rsidRDefault="004D234D" w:rsidP="004D234D">
      <w:pPr>
        <w:pStyle w:val="affffffffe"/>
      </w:pPr>
      <w:r w:rsidRPr="004D234D">
        <w:rPr>
          <w:rFonts w:hint="eastAsia"/>
        </w:rPr>
        <w:t>综合能源</w:t>
      </w:r>
      <w:proofErr w:type="gramStart"/>
      <w:r w:rsidRPr="004D234D">
        <w:rPr>
          <w:rFonts w:hint="eastAsia"/>
        </w:rPr>
        <w:t>站宜设置</w:t>
      </w:r>
      <w:proofErr w:type="gramEnd"/>
      <w:r w:rsidRPr="004D234D">
        <w:rPr>
          <w:rFonts w:hint="eastAsia"/>
        </w:rPr>
        <w:t>加油机及油罐、加气设备及加气机、加氢、充电设备及充电桩和</w:t>
      </w:r>
      <w:proofErr w:type="gramStart"/>
      <w:r w:rsidRPr="004D234D">
        <w:rPr>
          <w:rFonts w:hint="eastAsia"/>
        </w:rPr>
        <w:t>光伏等系统</w:t>
      </w:r>
      <w:proofErr w:type="gramEnd"/>
      <w:r w:rsidRPr="004D234D">
        <w:rPr>
          <w:rFonts w:hint="eastAsia"/>
        </w:rPr>
        <w:t>运行及故障数据的监测系统，实现设备的智能监控及事故预警。</w:t>
      </w:r>
    </w:p>
    <w:p w14:paraId="5AFB4997" w14:textId="5C129388" w:rsidR="004D234D" w:rsidRDefault="004D234D" w:rsidP="004D234D">
      <w:pPr>
        <w:pStyle w:val="affffffffe"/>
      </w:pPr>
      <w:r w:rsidRPr="004D234D">
        <w:rPr>
          <w:rFonts w:hint="eastAsia"/>
        </w:rPr>
        <w:t>综合能源站建筑物内的防烟排烟系统设计，应符合GB</w:t>
      </w:r>
      <w:r w:rsidR="00002135">
        <w:rPr>
          <w:rFonts w:hint="eastAsia"/>
        </w:rPr>
        <w:t xml:space="preserve"> </w:t>
      </w:r>
      <w:r w:rsidRPr="004D234D">
        <w:rPr>
          <w:rFonts w:hint="eastAsia"/>
        </w:rPr>
        <w:t>50016的有关规定。</w:t>
      </w:r>
    </w:p>
    <w:p w14:paraId="1874DAB4" w14:textId="1ED0BF3A" w:rsidR="00AC473C" w:rsidRDefault="00AC473C" w:rsidP="00AC473C">
      <w:pPr>
        <w:pStyle w:val="affc"/>
        <w:spacing w:before="240" w:after="240"/>
      </w:pPr>
      <w:bookmarkStart w:id="50" w:name="_Toc227678923"/>
      <w:r>
        <w:rPr>
          <w:rFonts w:hint="eastAsia"/>
        </w:rPr>
        <w:t>施工及验收</w:t>
      </w:r>
      <w:bookmarkEnd w:id="50"/>
    </w:p>
    <w:p w14:paraId="4177DEE4" w14:textId="2C7B060A" w:rsidR="00AC473C" w:rsidRDefault="00002135" w:rsidP="00002135">
      <w:pPr>
        <w:pStyle w:val="affffffffe"/>
      </w:pPr>
      <w:r w:rsidRPr="00002135">
        <w:rPr>
          <w:rFonts w:hint="eastAsia"/>
        </w:rPr>
        <w:t>综合能源站消防工程施工应由具有相应等级资质的施工单位承担，相关人员应具备相应的管理或技术等级资格。</w:t>
      </w:r>
    </w:p>
    <w:p w14:paraId="2E7A3640" w14:textId="516CC6F7" w:rsidR="00002135" w:rsidRDefault="00002135" w:rsidP="00002135">
      <w:pPr>
        <w:pStyle w:val="affffffffe"/>
      </w:pPr>
      <w:r w:rsidRPr="00002135">
        <w:rPr>
          <w:rFonts w:hint="eastAsia"/>
        </w:rPr>
        <w:t>综合能源站的施工宜按DL</w:t>
      </w:r>
      <w:r>
        <w:rPr>
          <w:rFonts w:hint="eastAsia"/>
        </w:rPr>
        <w:t xml:space="preserve"> </w:t>
      </w:r>
      <w:r w:rsidRPr="00002135">
        <w:rPr>
          <w:rFonts w:hint="eastAsia"/>
        </w:rPr>
        <w:t>5027、GB</w:t>
      </w:r>
      <w:r>
        <w:rPr>
          <w:rFonts w:hint="eastAsia"/>
        </w:rPr>
        <w:t xml:space="preserve"> </w:t>
      </w:r>
      <w:r w:rsidRPr="00002135">
        <w:rPr>
          <w:rFonts w:hint="eastAsia"/>
        </w:rPr>
        <w:t>26164.1执行动火管理和动火工作票制度。</w:t>
      </w:r>
    </w:p>
    <w:p w14:paraId="14B2C667" w14:textId="009DD0F9" w:rsidR="00002135" w:rsidRDefault="00002135" w:rsidP="00002135">
      <w:pPr>
        <w:pStyle w:val="affffffffe"/>
      </w:pPr>
      <w:r w:rsidRPr="00002135">
        <w:rPr>
          <w:rFonts w:hint="eastAsia"/>
        </w:rPr>
        <w:t>综合能源站的施工现场的临时消防措施应符合GB</w:t>
      </w:r>
      <w:r>
        <w:rPr>
          <w:rFonts w:hint="eastAsia"/>
        </w:rPr>
        <w:t xml:space="preserve"> </w:t>
      </w:r>
      <w:r w:rsidRPr="00002135">
        <w:rPr>
          <w:rFonts w:hint="eastAsia"/>
        </w:rPr>
        <w:t>50720规定。</w:t>
      </w:r>
    </w:p>
    <w:p w14:paraId="53DD1319" w14:textId="53139290" w:rsidR="00002135" w:rsidRDefault="00002135" w:rsidP="00002135">
      <w:pPr>
        <w:pStyle w:val="affffffffe"/>
      </w:pPr>
      <w:r w:rsidRPr="00002135">
        <w:rPr>
          <w:rFonts w:hint="eastAsia"/>
        </w:rPr>
        <w:t>综合能源站的火灾自动报警系统施工应符合GB</w:t>
      </w:r>
      <w:r>
        <w:rPr>
          <w:rFonts w:hint="eastAsia"/>
        </w:rPr>
        <w:t xml:space="preserve"> </w:t>
      </w:r>
      <w:r w:rsidRPr="00002135">
        <w:rPr>
          <w:rFonts w:hint="eastAsia"/>
        </w:rPr>
        <w:t>50166规定。</w:t>
      </w:r>
    </w:p>
    <w:p w14:paraId="6F374BA1" w14:textId="2D673DD2" w:rsidR="009002E1" w:rsidRDefault="009002E1" w:rsidP="009002E1">
      <w:pPr>
        <w:pStyle w:val="affc"/>
        <w:spacing w:before="240" w:after="240"/>
      </w:pPr>
      <w:bookmarkStart w:id="51" w:name="_Toc227678924"/>
      <w:r w:rsidRPr="009002E1">
        <w:rPr>
          <w:rFonts w:hint="eastAsia"/>
        </w:rPr>
        <w:t>使用维护与应急处置</w:t>
      </w:r>
      <w:bookmarkEnd w:id="51"/>
    </w:p>
    <w:bookmarkEnd w:id="21"/>
    <w:p w14:paraId="3D0B6D62" w14:textId="0E574AF6" w:rsidR="009002E1" w:rsidRDefault="009002E1" w:rsidP="009002E1">
      <w:pPr>
        <w:pStyle w:val="affffffffe"/>
      </w:pPr>
      <w:r w:rsidRPr="009002E1">
        <w:rPr>
          <w:rFonts w:hint="eastAsia"/>
        </w:rPr>
        <w:t>综合能源站应配备能满足安全可靠运行的运行维护人员，运行维护人员上岗前应经过工作原理、设备性能、常见故障处理、安全风险、防范措施、消防安全知识以及应急处置流程等培训，并定期开展培训，每年至少1次。</w:t>
      </w:r>
    </w:p>
    <w:p w14:paraId="67FBE0A8" w14:textId="690C8B12" w:rsidR="009002E1" w:rsidRDefault="009002E1" w:rsidP="009002E1">
      <w:pPr>
        <w:pStyle w:val="affffffffe"/>
      </w:pPr>
      <w:r w:rsidRPr="009002E1">
        <w:rPr>
          <w:rFonts w:hint="eastAsia"/>
        </w:rPr>
        <w:t>运</w:t>
      </w:r>
      <w:proofErr w:type="gramStart"/>
      <w:r w:rsidRPr="009002E1">
        <w:rPr>
          <w:rFonts w:hint="eastAsia"/>
        </w:rPr>
        <w:t>维人员</w:t>
      </w:r>
      <w:proofErr w:type="gramEnd"/>
      <w:r w:rsidRPr="009002E1">
        <w:rPr>
          <w:rFonts w:hint="eastAsia"/>
        </w:rPr>
        <w:t>应按相应的周期逐项开展定期专项巡检，对设备进行巡视、维修和保养。特殊季节和极端天气前后，应针对专项巡检内容目录开展巡检。</w:t>
      </w:r>
    </w:p>
    <w:p w14:paraId="7332F495" w14:textId="1097F2FD" w:rsidR="009002E1" w:rsidRDefault="009002E1" w:rsidP="009002E1">
      <w:pPr>
        <w:pStyle w:val="affffffffe"/>
      </w:pPr>
      <w:r w:rsidRPr="009002E1">
        <w:rPr>
          <w:rFonts w:hint="eastAsia"/>
        </w:rPr>
        <w:t>综合能源站设备发生异常或监控系统发出异常告警信号时，应及时进行现场检查。在缺陷和隐患未消除前应加强监视和增加巡视频次。</w:t>
      </w:r>
    </w:p>
    <w:p w14:paraId="5F88F05B" w14:textId="2809DF52" w:rsidR="009002E1" w:rsidRDefault="009002E1" w:rsidP="009002E1">
      <w:pPr>
        <w:pStyle w:val="affffffffe"/>
      </w:pPr>
      <w:r w:rsidRPr="009002E1">
        <w:rPr>
          <w:rFonts w:hint="eastAsia"/>
        </w:rPr>
        <w:t>综合能源站运行单位完善应急物资，并对应急处置人员或联动单位关联人员进行应急安全培训。</w:t>
      </w:r>
    </w:p>
    <w:p w14:paraId="032A3589" w14:textId="43CD6237" w:rsidR="009002E1" w:rsidRDefault="009002E1" w:rsidP="009002E1">
      <w:pPr>
        <w:pStyle w:val="affffffffe"/>
      </w:pPr>
      <w:r w:rsidRPr="009002E1">
        <w:rPr>
          <w:rFonts w:hint="eastAsia"/>
        </w:rPr>
        <w:t>综合能源站运行单位应每半年至少开展1次火灾应急演练。</w:t>
      </w:r>
    </w:p>
    <w:p w14:paraId="45605E06" w14:textId="72768587" w:rsidR="009002E1" w:rsidRPr="009002E1" w:rsidRDefault="009002E1" w:rsidP="009002E1">
      <w:pPr>
        <w:pStyle w:val="affffffffe"/>
      </w:pPr>
      <w:r w:rsidRPr="009002E1">
        <w:rPr>
          <w:rFonts w:hint="eastAsia"/>
        </w:rPr>
        <w:t>综合能源站运行单位应按确定的响应级别启动应急响应，按应急职责和流程实施。</w:t>
      </w:r>
    </w:p>
    <w:sectPr w:rsidR="009002E1" w:rsidRPr="009002E1"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2BAC" w14:textId="77777777" w:rsidR="00162C9C" w:rsidRDefault="00162C9C" w:rsidP="00D86DB7">
      <w:r>
        <w:separator/>
      </w:r>
    </w:p>
    <w:p w14:paraId="7EB74311" w14:textId="77777777" w:rsidR="00162C9C" w:rsidRDefault="00162C9C"/>
    <w:p w14:paraId="5794DE5B" w14:textId="77777777" w:rsidR="00162C9C" w:rsidRDefault="00162C9C"/>
  </w:endnote>
  <w:endnote w:type="continuationSeparator" w:id="0">
    <w:p w14:paraId="338AFA5C" w14:textId="77777777" w:rsidR="00162C9C" w:rsidRDefault="00162C9C" w:rsidP="00D86DB7">
      <w:r>
        <w:continuationSeparator/>
      </w:r>
    </w:p>
    <w:p w14:paraId="75B376E8" w14:textId="77777777" w:rsidR="00162C9C" w:rsidRDefault="00162C9C"/>
    <w:p w14:paraId="00E59A2C" w14:textId="77777777" w:rsidR="00162C9C" w:rsidRDefault="00162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7397"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9589"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E2F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B777"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09EC" w14:textId="77777777" w:rsidR="00162C9C" w:rsidRDefault="00162C9C" w:rsidP="00D86DB7">
      <w:r>
        <w:separator/>
      </w:r>
    </w:p>
  </w:footnote>
  <w:footnote w:type="continuationSeparator" w:id="0">
    <w:p w14:paraId="0F098CF7" w14:textId="77777777" w:rsidR="00162C9C" w:rsidRDefault="00162C9C" w:rsidP="00D86DB7">
      <w:r>
        <w:continuationSeparator/>
      </w:r>
    </w:p>
    <w:p w14:paraId="7C71A7F5" w14:textId="77777777" w:rsidR="00162C9C" w:rsidRDefault="00162C9C"/>
    <w:p w14:paraId="2F45661B" w14:textId="77777777" w:rsidR="00162C9C" w:rsidRDefault="00162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FC1E"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BD3F"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98D4"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F180"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7177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8206" w14:textId="72EE198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114A9E">
      <w:rPr>
        <w:rFonts w:hint="eastAsia"/>
      </w:rPr>
      <w:t>T/CFPA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76"/>
    <w:rsid w:val="0000040A"/>
    <w:rsid w:val="00000A94"/>
    <w:rsid w:val="00001972"/>
    <w:rsid w:val="00001D9A"/>
    <w:rsid w:val="00002135"/>
    <w:rsid w:val="00007B3A"/>
    <w:rsid w:val="000107E0"/>
    <w:rsid w:val="00011FDE"/>
    <w:rsid w:val="00012FFD"/>
    <w:rsid w:val="00014162"/>
    <w:rsid w:val="00014340"/>
    <w:rsid w:val="00016A9C"/>
    <w:rsid w:val="00022184"/>
    <w:rsid w:val="00022762"/>
    <w:rsid w:val="000238E0"/>
    <w:rsid w:val="000249DB"/>
    <w:rsid w:val="0002595E"/>
    <w:rsid w:val="000303C3"/>
    <w:rsid w:val="000307A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679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1A2"/>
    <w:rsid w:val="000D753B"/>
    <w:rsid w:val="000E4C9E"/>
    <w:rsid w:val="000E6FD7"/>
    <w:rsid w:val="000E7144"/>
    <w:rsid w:val="000F06E1"/>
    <w:rsid w:val="000F0E3C"/>
    <w:rsid w:val="000F19D5"/>
    <w:rsid w:val="000F4050"/>
    <w:rsid w:val="000F4AEA"/>
    <w:rsid w:val="000F67E9"/>
    <w:rsid w:val="00104926"/>
    <w:rsid w:val="00113B1E"/>
    <w:rsid w:val="00114A9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2C9C"/>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E74"/>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73B"/>
    <w:rsid w:val="001E3CC4"/>
    <w:rsid w:val="001E4882"/>
    <w:rsid w:val="001E73AB"/>
    <w:rsid w:val="001F092D"/>
    <w:rsid w:val="001F143A"/>
    <w:rsid w:val="001F1605"/>
    <w:rsid w:val="001F2508"/>
    <w:rsid w:val="001F4816"/>
    <w:rsid w:val="001F69B4"/>
    <w:rsid w:val="001F77C7"/>
    <w:rsid w:val="00200183"/>
    <w:rsid w:val="00200333"/>
    <w:rsid w:val="0020040C"/>
    <w:rsid w:val="0020107D"/>
    <w:rsid w:val="00202AA4"/>
    <w:rsid w:val="002031F7"/>
    <w:rsid w:val="002040E6"/>
    <w:rsid w:val="0020527B"/>
    <w:rsid w:val="00205F2C"/>
    <w:rsid w:val="00210B15"/>
    <w:rsid w:val="002142EA"/>
    <w:rsid w:val="00215ADD"/>
    <w:rsid w:val="002204BB"/>
    <w:rsid w:val="00221278"/>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5B8"/>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979FD"/>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04B"/>
    <w:rsid w:val="002D79AC"/>
    <w:rsid w:val="002E039D"/>
    <w:rsid w:val="002E2B8B"/>
    <w:rsid w:val="002E4D5A"/>
    <w:rsid w:val="002E6326"/>
    <w:rsid w:val="002F30E0"/>
    <w:rsid w:val="002F35E4"/>
    <w:rsid w:val="002F3730"/>
    <w:rsid w:val="002F38E1"/>
    <w:rsid w:val="002F7AF6"/>
    <w:rsid w:val="00300E63"/>
    <w:rsid w:val="00302F5F"/>
    <w:rsid w:val="0030441D"/>
    <w:rsid w:val="00306063"/>
    <w:rsid w:val="00313B85"/>
    <w:rsid w:val="00317988"/>
    <w:rsid w:val="00321D17"/>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500"/>
    <w:rsid w:val="003D262C"/>
    <w:rsid w:val="003D6D61"/>
    <w:rsid w:val="003E019F"/>
    <w:rsid w:val="003E091D"/>
    <w:rsid w:val="003E1C53"/>
    <w:rsid w:val="003E2A69"/>
    <w:rsid w:val="003E2D49"/>
    <w:rsid w:val="003E2FD4"/>
    <w:rsid w:val="003E49F6"/>
    <w:rsid w:val="003E660F"/>
    <w:rsid w:val="003F0841"/>
    <w:rsid w:val="003F23D3"/>
    <w:rsid w:val="003F3C05"/>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34D"/>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026"/>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5D3"/>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104"/>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43D"/>
    <w:rsid w:val="00640620"/>
    <w:rsid w:val="00641A1F"/>
    <w:rsid w:val="00645904"/>
    <w:rsid w:val="00651ACB"/>
    <w:rsid w:val="00651C47"/>
    <w:rsid w:val="00652AB2"/>
    <w:rsid w:val="00653FED"/>
    <w:rsid w:val="00654EC0"/>
    <w:rsid w:val="0065525B"/>
    <w:rsid w:val="00655D4F"/>
    <w:rsid w:val="00656361"/>
    <w:rsid w:val="00656D29"/>
    <w:rsid w:val="00660112"/>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499"/>
    <w:rsid w:val="00724E1B"/>
    <w:rsid w:val="00725949"/>
    <w:rsid w:val="00727FA2"/>
    <w:rsid w:val="007322D9"/>
    <w:rsid w:val="00732BC0"/>
    <w:rsid w:val="0073720F"/>
    <w:rsid w:val="00737796"/>
    <w:rsid w:val="0074165C"/>
    <w:rsid w:val="00742C35"/>
    <w:rsid w:val="007432CA"/>
    <w:rsid w:val="007439EB"/>
    <w:rsid w:val="00743CB4"/>
    <w:rsid w:val="00743F0A"/>
    <w:rsid w:val="00744389"/>
    <w:rsid w:val="007444E8"/>
    <w:rsid w:val="0074548E"/>
    <w:rsid w:val="00745773"/>
    <w:rsid w:val="00746800"/>
    <w:rsid w:val="007501A8"/>
    <w:rsid w:val="00750D61"/>
    <w:rsid w:val="00750EE1"/>
    <w:rsid w:val="00752B4D"/>
    <w:rsid w:val="00755402"/>
    <w:rsid w:val="00756B26"/>
    <w:rsid w:val="00756EDF"/>
    <w:rsid w:val="007600E3"/>
    <w:rsid w:val="0076229E"/>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0EEA"/>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53F"/>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C67"/>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2E1"/>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C81"/>
    <w:rsid w:val="00A55BD6"/>
    <w:rsid w:val="00A55D50"/>
    <w:rsid w:val="00A57142"/>
    <w:rsid w:val="00A648CD"/>
    <w:rsid w:val="00A6537A"/>
    <w:rsid w:val="00A67866"/>
    <w:rsid w:val="00A70B07"/>
    <w:rsid w:val="00A71776"/>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73C"/>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2C9E"/>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DA3"/>
    <w:rsid w:val="00C42130"/>
    <w:rsid w:val="00C423A4"/>
    <w:rsid w:val="00C423E3"/>
    <w:rsid w:val="00C44BF5"/>
    <w:rsid w:val="00C521D6"/>
    <w:rsid w:val="00C55232"/>
    <w:rsid w:val="00C553A4"/>
    <w:rsid w:val="00C55A06"/>
    <w:rsid w:val="00C55D03"/>
    <w:rsid w:val="00C601BC"/>
    <w:rsid w:val="00C623E8"/>
    <w:rsid w:val="00C630CB"/>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3BC"/>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296"/>
    <w:rsid w:val="00DA64F8"/>
    <w:rsid w:val="00DA6C15"/>
    <w:rsid w:val="00DB0258"/>
    <w:rsid w:val="00DB3573"/>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4B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AFE"/>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3914"/>
    <w:rsid w:val="00EE613F"/>
    <w:rsid w:val="00EE7295"/>
    <w:rsid w:val="00EE7869"/>
    <w:rsid w:val="00EF054A"/>
    <w:rsid w:val="00EF3235"/>
    <w:rsid w:val="00EF7E72"/>
    <w:rsid w:val="00F06D37"/>
    <w:rsid w:val="00F07A2E"/>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710"/>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F5F"/>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65118"/>
  <w15:docId w15:val="{96BF5631-0FD8-4AEB-903F-4838EB81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0585813">
      <w:bodyDiv w:val="1"/>
      <w:marLeft w:val="0"/>
      <w:marRight w:val="0"/>
      <w:marTop w:val="0"/>
      <w:marBottom w:val="0"/>
      <w:divBdr>
        <w:top w:val="none" w:sz="0" w:space="0" w:color="auto"/>
        <w:left w:val="none" w:sz="0" w:space="0" w:color="auto"/>
        <w:bottom w:val="none" w:sz="0" w:space="0" w:color="auto"/>
        <w:right w:val="none" w:sz="0" w:space="0" w:color="auto"/>
      </w:divBdr>
    </w:div>
    <w:div w:id="603457995">
      <w:bodyDiv w:val="1"/>
      <w:marLeft w:val="0"/>
      <w:marRight w:val="0"/>
      <w:marTop w:val="0"/>
      <w:marBottom w:val="0"/>
      <w:divBdr>
        <w:top w:val="none" w:sz="0" w:space="0" w:color="auto"/>
        <w:left w:val="none" w:sz="0" w:space="0" w:color="auto"/>
        <w:bottom w:val="none" w:sz="0" w:space="0" w:color="auto"/>
        <w:right w:val="none" w:sz="0" w:space="0" w:color="auto"/>
      </w:divBdr>
    </w:div>
    <w:div w:id="901329775">
      <w:bodyDiv w:val="1"/>
      <w:marLeft w:val="0"/>
      <w:marRight w:val="0"/>
      <w:marTop w:val="0"/>
      <w:marBottom w:val="0"/>
      <w:divBdr>
        <w:top w:val="none" w:sz="0" w:space="0" w:color="auto"/>
        <w:left w:val="none" w:sz="0" w:space="0" w:color="auto"/>
        <w:bottom w:val="none" w:sz="0" w:space="0" w:color="auto"/>
        <w:right w:val="none" w:sz="0" w:space="0" w:color="auto"/>
      </w:divBdr>
    </w:div>
    <w:div w:id="1630166697">
      <w:bodyDiv w:val="1"/>
      <w:marLeft w:val="0"/>
      <w:marRight w:val="0"/>
      <w:marTop w:val="0"/>
      <w:marBottom w:val="0"/>
      <w:divBdr>
        <w:top w:val="none" w:sz="0" w:space="0" w:color="auto"/>
        <w:left w:val="none" w:sz="0" w:space="0" w:color="auto"/>
        <w:bottom w:val="none" w:sz="0" w:space="0" w:color="auto"/>
        <w:right w:val="none" w:sz="0" w:space="0" w:color="auto"/>
      </w:divBdr>
    </w:div>
    <w:div w:id="1919317661">
      <w:bodyDiv w:val="1"/>
      <w:marLeft w:val="0"/>
      <w:marRight w:val="0"/>
      <w:marTop w:val="0"/>
      <w:marBottom w:val="0"/>
      <w:divBdr>
        <w:top w:val="none" w:sz="0" w:space="0" w:color="auto"/>
        <w:left w:val="none" w:sz="0" w:space="0" w:color="auto"/>
        <w:bottom w:val="none" w:sz="0" w:space="0" w:color="auto"/>
        <w:right w:val="none" w:sz="0" w:space="0" w:color="auto"/>
      </w:divBdr>
    </w:div>
    <w:div w:id="1947806680">
      <w:bodyDiv w:val="1"/>
      <w:marLeft w:val="0"/>
      <w:marRight w:val="0"/>
      <w:marTop w:val="0"/>
      <w:marBottom w:val="0"/>
      <w:divBdr>
        <w:top w:val="none" w:sz="0" w:space="0" w:color="auto"/>
        <w:left w:val="none" w:sz="0" w:space="0" w:color="auto"/>
        <w:bottom w:val="none" w:sz="0" w:space="0" w:color="auto"/>
        <w:right w:val="none" w:sz="0" w:space="0" w:color="auto"/>
      </w:divBdr>
    </w:div>
    <w:div w:id="2020618787">
      <w:bodyDiv w:val="1"/>
      <w:marLeft w:val="0"/>
      <w:marRight w:val="0"/>
      <w:marTop w:val="0"/>
      <w:marBottom w:val="0"/>
      <w:divBdr>
        <w:top w:val="none" w:sz="0" w:space="0" w:color="auto"/>
        <w:left w:val="none" w:sz="0" w:space="0" w:color="auto"/>
        <w:bottom w:val="none" w:sz="0" w:space="0" w:color="auto"/>
        <w:right w:val="none" w:sz="0" w:space="0" w:color="auto"/>
      </w:divBdr>
    </w:div>
    <w:div w:id="2064059903">
      <w:bodyDiv w:val="1"/>
      <w:marLeft w:val="0"/>
      <w:marRight w:val="0"/>
      <w:marTop w:val="0"/>
      <w:marBottom w:val="0"/>
      <w:divBdr>
        <w:top w:val="none" w:sz="0" w:space="0" w:color="auto"/>
        <w:left w:val="none" w:sz="0" w:space="0" w:color="auto"/>
        <w:bottom w:val="none" w:sz="0" w:space="0" w:color="auto"/>
        <w:right w:val="none" w:sz="0" w:space="0" w:color="auto"/>
      </w:divBdr>
    </w:div>
    <w:div w:id="2087459847">
      <w:bodyDiv w:val="1"/>
      <w:marLeft w:val="0"/>
      <w:marRight w:val="0"/>
      <w:marTop w:val="0"/>
      <w:marBottom w:val="0"/>
      <w:divBdr>
        <w:top w:val="none" w:sz="0" w:space="0" w:color="auto"/>
        <w:left w:val="none" w:sz="0" w:space="0" w:color="auto"/>
        <w:bottom w:val="none" w:sz="0" w:space="0" w:color="auto"/>
        <w:right w:val="none" w:sz="0" w:space="0" w:color="auto"/>
      </w:divBdr>
    </w:div>
    <w:div w:id="21447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F764FC4DA4C10800863CD52035ADE"/>
        <w:category>
          <w:name w:val="常规"/>
          <w:gallery w:val="placeholder"/>
        </w:category>
        <w:types>
          <w:type w:val="bbPlcHdr"/>
        </w:types>
        <w:behaviors>
          <w:behavior w:val="content"/>
        </w:behaviors>
        <w:guid w:val="{49E8B8B3-5E3E-4317-BDA2-2E92F7C08CED}"/>
      </w:docPartPr>
      <w:docPartBody>
        <w:p w:rsidR="00300A5D" w:rsidRDefault="00000000">
          <w:pPr>
            <w:pStyle w:val="644F764FC4DA4C10800863CD52035ADE"/>
            <w:rPr>
              <w:rFonts w:hint="eastAsia"/>
            </w:rPr>
          </w:pPr>
          <w:r w:rsidRPr="00751A05">
            <w:rPr>
              <w:rStyle w:val="a3"/>
              <w:rFonts w:hint="eastAsia"/>
            </w:rPr>
            <w:t>单击或点击此处输入文字。</w:t>
          </w:r>
        </w:p>
      </w:docPartBody>
    </w:docPart>
    <w:docPart>
      <w:docPartPr>
        <w:name w:val="93F0E376194C4DBCB22A10D4D794FE8D"/>
        <w:category>
          <w:name w:val="常规"/>
          <w:gallery w:val="placeholder"/>
        </w:category>
        <w:types>
          <w:type w:val="bbPlcHdr"/>
        </w:types>
        <w:behaviors>
          <w:behavior w:val="content"/>
        </w:behaviors>
        <w:guid w:val="{48CC8A6F-DEF2-4D43-9A12-8760577C3632}"/>
      </w:docPartPr>
      <w:docPartBody>
        <w:p w:rsidR="00300A5D" w:rsidRDefault="00000000">
          <w:pPr>
            <w:pStyle w:val="93F0E376194C4DBCB22A10D4D794FE8D"/>
            <w:rPr>
              <w:rFonts w:hint="eastAsia"/>
            </w:rPr>
          </w:pPr>
          <w:r w:rsidRPr="00FB6243">
            <w:rPr>
              <w:rStyle w:val="a3"/>
              <w:rFonts w:hint="eastAsia"/>
            </w:rPr>
            <w:t>选择一项。</w:t>
          </w:r>
        </w:p>
      </w:docPartBody>
    </w:docPart>
    <w:docPart>
      <w:docPartPr>
        <w:name w:val="AC1A3527ACD344B2BF10730B29741CE1"/>
        <w:category>
          <w:name w:val="常规"/>
          <w:gallery w:val="placeholder"/>
        </w:category>
        <w:types>
          <w:type w:val="bbPlcHdr"/>
        </w:types>
        <w:behaviors>
          <w:behavior w:val="content"/>
        </w:behaviors>
        <w:guid w:val="{EFB54DA7-AD8A-4290-9A34-2D660A1340C4}"/>
      </w:docPartPr>
      <w:docPartBody>
        <w:p w:rsidR="00300A5D" w:rsidRDefault="00000000">
          <w:pPr>
            <w:pStyle w:val="AC1A3527ACD344B2BF10730B29741CE1"/>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CD"/>
    <w:rsid w:val="000307A0"/>
    <w:rsid w:val="001A0E74"/>
    <w:rsid w:val="0020040C"/>
    <w:rsid w:val="002E2B8B"/>
    <w:rsid w:val="00300A5D"/>
    <w:rsid w:val="0031656B"/>
    <w:rsid w:val="005B7651"/>
    <w:rsid w:val="0064043D"/>
    <w:rsid w:val="00692847"/>
    <w:rsid w:val="00784A2E"/>
    <w:rsid w:val="0096703B"/>
    <w:rsid w:val="00A52C81"/>
    <w:rsid w:val="00A9758B"/>
    <w:rsid w:val="00D957C4"/>
    <w:rsid w:val="00E6794F"/>
    <w:rsid w:val="00E924CD"/>
    <w:rsid w:val="00F07A2E"/>
    <w:rsid w:val="00FE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44F764FC4DA4C10800863CD52035ADE">
    <w:name w:val="644F764FC4DA4C10800863CD52035ADE"/>
    <w:pPr>
      <w:widowControl w:val="0"/>
    </w:pPr>
  </w:style>
  <w:style w:type="paragraph" w:customStyle="1" w:styleId="93F0E376194C4DBCB22A10D4D794FE8D">
    <w:name w:val="93F0E376194C4DBCB22A10D4D794FE8D"/>
    <w:pPr>
      <w:widowControl w:val="0"/>
    </w:pPr>
  </w:style>
  <w:style w:type="paragraph" w:customStyle="1" w:styleId="AC1A3527ACD344B2BF10730B29741CE1">
    <w:name w:val="AC1A3527ACD344B2BF10730B29741CE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186</TotalTime>
  <Pages>7</Pages>
  <Words>2846</Words>
  <Characters>3216</Characters>
  <Application>Microsoft Office Word</Application>
  <DocSecurity>0</DocSecurity>
  <Lines>146</Lines>
  <Paragraphs>183</Paragraphs>
  <ScaleCrop>false</ScaleCrop>
  <Company>PCMI</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litian</dc:creator>
  <cp:keywords/>
  <dc:description>&lt;config cover="true" show_menu="true" version="1.0.0" doctype="SDKXY"&gt;_x000d_
&lt;/config&gt;</dc:description>
  <cp:lastModifiedBy>S G</cp:lastModifiedBy>
  <cp:revision>22</cp:revision>
  <cp:lastPrinted>2021-02-02T08:22:00Z</cp:lastPrinted>
  <dcterms:created xsi:type="dcterms:W3CDTF">2025-03-06T03:50:00Z</dcterms:created>
  <dcterms:modified xsi:type="dcterms:W3CDTF">2026-05-11T06:52:00Z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