
<file path=[Content_Types].xml><?xml version="1.0" encoding="utf-8"?>
<Types xmlns="http://schemas.openxmlformats.org/package/2006/content-types">
  <Default Extension="png" ContentType="image/pn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0A09E">
      <w:pPr>
        <w:widowControl/>
        <w:jc w:val="left"/>
        <w:rPr>
          <w:rFonts w:eastAsia="黑体"/>
          <w:color w:val="auto"/>
          <w:kern w:val="2"/>
          <w:sz w:val="32"/>
          <w:szCs w:val="32"/>
        </w:rPr>
      </w:pPr>
      <w:bookmarkStart w:id="0" w:name="_Hlk512244031"/>
    </w:p>
    <w:p w14:paraId="24BEB6D3">
      <w:pPr>
        <w:widowControl/>
        <w:jc w:val="center"/>
        <w:rPr>
          <w:rFonts w:eastAsia="黑体" w:cs="黑体"/>
          <w:color w:val="auto"/>
          <w:kern w:val="2"/>
          <w:sz w:val="36"/>
          <w:szCs w:val="36"/>
        </w:rPr>
      </w:pPr>
    </w:p>
    <w:p w14:paraId="437885EF">
      <w:pPr>
        <w:widowControl/>
        <w:jc w:val="center"/>
        <w:rPr>
          <w:rFonts w:eastAsia="黑体" w:cs="黑体"/>
          <w:color w:val="auto"/>
          <w:kern w:val="2"/>
          <w:sz w:val="36"/>
          <w:szCs w:val="36"/>
        </w:rPr>
      </w:pPr>
    </w:p>
    <w:p w14:paraId="01B6EE08">
      <w:pPr>
        <w:widowControl/>
        <w:jc w:val="center"/>
        <w:rPr>
          <w:rFonts w:hint="eastAsia" w:ascii="宋体" w:hAnsi="宋体"/>
          <w:color w:val="auto"/>
          <w:kern w:val="2"/>
          <w:sz w:val="32"/>
          <w:szCs w:val="32"/>
        </w:rPr>
      </w:pPr>
      <w:r>
        <w:rPr>
          <w:rFonts w:hint="eastAsia" w:ascii="宋体" w:hAnsi="宋体" w:cs="黑体"/>
          <w:color w:val="auto"/>
          <w:kern w:val="2"/>
          <w:sz w:val="36"/>
          <w:szCs w:val="36"/>
        </w:rPr>
        <w:t>中国消防协会团体标准</w:t>
      </w:r>
    </w:p>
    <w:p w14:paraId="61D651F7">
      <w:pPr>
        <w:widowControl/>
        <w:jc w:val="center"/>
        <w:rPr>
          <w:rFonts w:hint="eastAsia" w:ascii="宋体" w:hAnsi="宋体"/>
          <w:color w:val="auto"/>
          <w:kern w:val="2"/>
          <w:sz w:val="32"/>
          <w:szCs w:val="32"/>
        </w:rPr>
      </w:pPr>
    </w:p>
    <w:p w14:paraId="76135F40">
      <w:pPr>
        <w:widowControl/>
        <w:spacing w:line="360" w:lineRule="auto"/>
        <w:jc w:val="center"/>
        <w:rPr>
          <w:rFonts w:hint="eastAsia" w:ascii="宋体" w:hAnsi="宋体"/>
          <w:color w:val="auto"/>
          <w:kern w:val="2"/>
          <w:sz w:val="36"/>
          <w:szCs w:val="36"/>
        </w:rPr>
      </w:pPr>
      <w:r>
        <w:rPr>
          <w:rFonts w:hint="eastAsia" w:ascii="宋体" w:hAnsi="宋体"/>
          <w:color w:val="auto"/>
          <w:sz w:val="32"/>
          <w:szCs w:val="32"/>
        </w:rPr>
        <w:t>《电化学储能电站防火设计导则》</w:t>
      </w:r>
    </w:p>
    <w:p w14:paraId="603A0805">
      <w:pPr>
        <w:widowControl/>
        <w:spacing w:line="360" w:lineRule="auto"/>
        <w:jc w:val="center"/>
        <w:rPr>
          <w:rFonts w:hint="eastAsia" w:ascii="宋体" w:hAnsi="宋体"/>
          <w:color w:val="auto"/>
          <w:kern w:val="2"/>
          <w:sz w:val="32"/>
          <w:szCs w:val="32"/>
        </w:rPr>
      </w:pPr>
    </w:p>
    <w:p w14:paraId="2D5285B4">
      <w:pPr>
        <w:widowControl/>
        <w:spacing w:line="360" w:lineRule="auto"/>
        <w:jc w:val="center"/>
        <w:rPr>
          <w:rFonts w:hint="eastAsia" w:ascii="宋体" w:hAnsi="宋体"/>
          <w:color w:val="auto"/>
          <w:kern w:val="2"/>
          <w:sz w:val="32"/>
          <w:szCs w:val="32"/>
        </w:rPr>
      </w:pPr>
      <w:r>
        <w:rPr>
          <w:rFonts w:hint="eastAsia" w:ascii="宋体" w:hAnsi="宋体"/>
          <w:color w:val="auto"/>
          <w:kern w:val="2"/>
          <w:sz w:val="32"/>
          <w:szCs w:val="32"/>
        </w:rPr>
        <w:t>（</w:t>
      </w:r>
      <w:r>
        <w:rPr>
          <w:rFonts w:ascii="宋体" w:hAnsi="宋体"/>
          <w:color w:val="auto"/>
          <w:kern w:val="2"/>
          <w:sz w:val="32"/>
          <w:szCs w:val="32"/>
        </w:rPr>
        <w:t xml:space="preserve">T/CFPA </w:t>
      </w:r>
      <w:r>
        <w:rPr>
          <w:rFonts w:hint="eastAsia" w:ascii="宋体" w:hAnsi="宋体"/>
          <w:color w:val="auto"/>
          <w:sz w:val="32"/>
          <w:szCs w:val="32"/>
        </w:rPr>
        <w:t>***</w:t>
      </w:r>
      <w:r>
        <w:rPr>
          <w:rFonts w:ascii="宋体" w:hAnsi="宋体"/>
          <w:color w:val="auto"/>
          <w:sz w:val="32"/>
          <w:szCs w:val="32"/>
        </w:rPr>
        <w:t>-</w:t>
      </w:r>
      <w:r>
        <w:rPr>
          <w:rFonts w:hint="eastAsia" w:ascii="宋体" w:hAnsi="宋体"/>
          <w:color w:val="auto"/>
          <w:sz w:val="32"/>
          <w:szCs w:val="32"/>
        </w:rPr>
        <w:t>****</w:t>
      </w:r>
      <w:r>
        <w:rPr>
          <w:rFonts w:hint="eastAsia" w:ascii="宋体" w:hAnsi="宋体"/>
          <w:color w:val="auto"/>
          <w:kern w:val="2"/>
          <w:sz w:val="32"/>
          <w:szCs w:val="32"/>
        </w:rPr>
        <w:t>）</w:t>
      </w:r>
    </w:p>
    <w:p w14:paraId="51E014B8">
      <w:pPr>
        <w:widowControl/>
        <w:spacing w:line="360" w:lineRule="auto"/>
        <w:jc w:val="center"/>
        <w:rPr>
          <w:rFonts w:hint="eastAsia" w:ascii="宋体" w:hAnsi="宋体"/>
          <w:color w:val="auto"/>
          <w:kern w:val="2"/>
          <w:sz w:val="36"/>
          <w:szCs w:val="36"/>
        </w:rPr>
      </w:pPr>
    </w:p>
    <w:p w14:paraId="1C87B7E1">
      <w:pPr>
        <w:widowControl/>
        <w:spacing w:line="360" w:lineRule="auto"/>
        <w:jc w:val="center"/>
        <w:rPr>
          <w:rFonts w:hint="eastAsia" w:ascii="宋体" w:hAnsi="宋体"/>
          <w:color w:val="auto"/>
          <w:kern w:val="2"/>
          <w:sz w:val="36"/>
          <w:szCs w:val="36"/>
        </w:rPr>
      </w:pPr>
      <w:bookmarkStart w:id="1" w:name="_GoBack"/>
      <w:bookmarkEnd w:id="1"/>
    </w:p>
    <w:p w14:paraId="1DA5EED5">
      <w:pPr>
        <w:widowControl/>
        <w:spacing w:line="360" w:lineRule="auto"/>
        <w:jc w:val="center"/>
        <w:rPr>
          <w:rFonts w:hint="eastAsia" w:ascii="宋体" w:hAnsi="宋体" w:eastAsia="宋体"/>
          <w:color w:val="auto"/>
          <w:kern w:val="2"/>
          <w:sz w:val="36"/>
          <w:szCs w:val="36"/>
          <w:lang w:val="en-US" w:eastAsia="zh-CN"/>
        </w:rPr>
      </w:pPr>
      <w:r>
        <w:rPr>
          <w:rFonts w:hint="eastAsia" w:ascii="宋体" w:hAnsi="宋体"/>
          <w:color w:val="auto"/>
          <w:kern w:val="2"/>
          <w:sz w:val="52"/>
          <w:szCs w:val="52"/>
        </w:rPr>
        <w:t xml:space="preserve">编 制 </w:t>
      </w:r>
      <w:r>
        <w:rPr>
          <w:rFonts w:hint="eastAsia" w:ascii="宋体" w:hAnsi="宋体"/>
          <w:color w:val="auto"/>
          <w:kern w:val="2"/>
          <w:sz w:val="52"/>
          <w:szCs w:val="52"/>
          <w:lang w:val="en-US" w:eastAsia="zh-CN"/>
        </w:rPr>
        <w:t>说 明</w:t>
      </w:r>
    </w:p>
    <w:p w14:paraId="01C82EC9">
      <w:pPr>
        <w:widowControl/>
        <w:spacing w:line="360" w:lineRule="auto"/>
        <w:jc w:val="center"/>
        <w:rPr>
          <w:rFonts w:eastAsia="黑体"/>
          <w:color w:val="auto"/>
          <w:kern w:val="2"/>
          <w:sz w:val="36"/>
          <w:szCs w:val="36"/>
        </w:rPr>
      </w:pPr>
    </w:p>
    <w:p w14:paraId="77B77A7B">
      <w:pPr>
        <w:widowControl/>
        <w:spacing w:line="360" w:lineRule="auto"/>
        <w:jc w:val="center"/>
        <w:rPr>
          <w:rFonts w:eastAsia="黑体"/>
          <w:color w:val="auto"/>
          <w:kern w:val="2"/>
          <w:sz w:val="36"/>
          <w:szCs w:val="36"/>
        </w:rPr>
      </w:pPr>
    </w:p>
    <w:p w14:paraId="54E2B9FE">
      <w:pPr>
        <w:widowControl/>
        <w:spacing w:line="360" w:lineRule="auto"/>
        <w:jc w:val="center"/>
        <w:rPr>
          <w:rFonts w:eastAsia="黑体"/>
          <w:color w:val="auto"/>
          <w:kern w:val="2"/>
          <w:sz w:val="36"/>
          <w:szCs w:val="36"/>
        </w:rPr>
      </w:pPr>
    </w:p>
    <w:p w14:paraId="1906390A">
      <w:pPr>
        <w:widowControl/>
        <w:spacing w:line="360" w:lineRule="auto"/>
        <w:jc w:val="center"/>
        <w:rPr>
          <w:rFonts w:eastAsia="黑体"/>
          <w:color w:val="auto"/>
          <w:kern w:val="2"/>
          <w:sz w:val="36"/>
          <w:szCs w:val="36"/>
        </w:rPr>
      </w:pPr>
    </w:p>
    <w:p w14:paraId="1EC70076">
      <w:pPr>
        <w:widowControl/>
        <w:spacing w:line="360" w:lineRule="auto"/>
        <w:jc w:val="center"/>
        <w:rPr>
          <w:rFonts w:eastAsia="黑体"/>
          <w:color w:val="auto"/>
          <w:kern w:val="2"/>
          <w:sz w:val="36"/>
          <w:szCs w:val="36"/>
        </w:rPr>
      </w:pPr>
    </w:p>
    <w:p w14:paraId="536981D0">
      <w:pPr>
        <w:widowControl/>
        <w:spacing w:line="360" w:lineRule="auto"/>
        <w:jc w:val="center"/>
        <w:rPr>
          <w:rFonts w:eastAsia="黑体"/>
          <w:color w:val="auto"/>
          <w:kern w:val="2"/>
          <w:sz w:val="36"/>
          <w:szCs w:val="36"/>
        </w:rPr>
      </w:pPr>
    </w:p>
    <w:p w14:paraId="11A5E554">
      <w:pPr>
        <w:widowControl/>
        <w:spacing w:line="360" w:lineRule="auto"/>
        <w:jc w:val="center"/>
        <w:rPr>
          <w:rFonts w:eastAsia="黑体"/>
          <w:color w:val="auto"/>
          <w:kern w:val="2"/>
          <w:sz w:val="36"/>
          <w:szCs w:val="36"/>
        </w:rPr>
      </w:pPr>
    </w:p>
    <w:p w14:paraId="245B760C">
      <w:pPr>
        <w:widowControl/>
        <w:spacing w:line="360" w:lineRule="auto"/>
        <w:jc w:val="center"/>
        <w:rPr>
          <w:rFonts w:hint="eastAsia" w:ascii="楷体" w:hAnsi="楷体" w:eastAsia="楷体"/>
          <w:color w:val="auto"/>
          <w:sz w:val="36"/>
          <w:szCs w:val="36"/>
        </w:rPr>
      </w:pPr>
      <w:r>
        <w:rPr>
          <w:rFonts w:hint="eastAsia" w:ascii="楷体" w:hAnsi="楷体" w:eastAsia="楷体"/>
          <w:color w:val="auto"/>
          <w:sz w:val="32"/>
          <w:szCs w:val="32"/>
        </w:rPr>
        <w:t>《电化学储能电站防火设计导则》编制组</w:t>
      </w:r>
    </w:p>
    <w:p w14:paraId="63CC7C7B">
      <w:pPr>
        <w:widowControl/>
        <w:spacing w:line="360" w:lineRule="auto"/>
        <w:jc w:val="center"/>
        <w:rPr>
          <w:rFonts w:hint="eastAsia" w:ascii="楷体" w:hAnsi="楷体" w:eastAsia="楷体"/>
          <w:color w:val="auto"/>
          <w:sz w:val="28"/>
          <w:szCs w:val="28"/>
        </w:rPr>
      </w:pPr>
      <w:r>
        <w:rPr>
          <w:rFonts w:hint="eastAsia" w:ascii="楷体" w:hAnsi="楷体" w:eastAsia="楷体" w:cs="黑体"/>
          <w:color w:val="auto"/>
          <w:sz w:val="28"/>
          <w:szCs w:val="28"/>
        </w:rPr>
        <w:t>二零二六年二月二十六日</w:t>
      </w:r>
    </w:p>
    <w:p w14:paraId="36D05785">
      <w:pPr>
        <w:widowControl/>
        <w:spacing w:line="360" w:lineRule="auto"/>
        <w:jc w:val="center"/>
        <w:rPr>
          <w:rFonts w:eastAsia="黑体"/>
          <w:color w:val="auto"/>
          <w:sz w:val="28"/>
          <w:szCs w:val="28"/>
        </w:rPr>
      </w:pPr>
    </w:p>
    <w:bookmarkEnd w:id="0"/>
    <w:p w14:paraId="71BA652D">
      <w:pPr>
        <w:snapToGrid w:val="0"/>
        <w:spacing w:line="360" w:lineRule="auto"/>
        <w:jc w:val="center"/>
        <w:rPr>
          <w:rFonts w:eastAsia="仿宋_GB2312" w:cs="仿宋_GB2312"/>
          <w:b/>
          <w:bCs/>
          <w:color w:val="auto"/>
          <w:sz w:val="32"/>
          <w:szCs w:val="32"/>
        </w:rPr>
        <w:sectPr>
          <w:headerReference r:id="rId3" w:type="default"/>
          <w:pgSz w:w="11906" w:h="16838"/>
          <w:pgMar w:top="1440" w:right="1800" w:bottom="1440" w:left="1800" w:header="851" w:footer="992" w:gutter="0"/>
          <w:pgNumType w:start="0"/>
          <w:cols w:space="425" w:num="1"/>
          <w:docGrid w:type="lines" w:linePitch="312" w:charSpace="0"/>
        </w:sectPr>
      </w:pPr>
    </w:p>
    <w:p w14:paraId="16C863B7">
      <w:pPr>
        <w:spacing w:line="300" w:lineRule="auto"/>
        <w:rPr>
          <w:rFonts w:eastAsia="仿宋_GB2312" w:cs="仿宋_GB2312"/>
          <w:b/>
          <w:bCs/>
          <w:color w:val="auto"/>
          <w:sz w:val="32"/>
          <w:szCs w:val="32"/>
        </w:rPr>
      </w:pPr>
    </w:p>
    <w:p w14:paraId="20A61A68">
      <w:pPr>
        <w:snapToGrid w:val="0"/>
        <w:spacing w:line="360" w:lineRule="auto"/>
        <w:ind w:firstLine="600" w:firstLineChars="200"/>
        <w:rPr>
          <w:bCs/>
          <w:color w:val="auto"/>
          <w:sz w:val="30"/>
          <w:szCs w:val="30"/>
        </w:rPr>
      </w:pPr>
      <w:r>
        <w:rPr>
          <w:rFonts w:hint="eastAsia" w:ascii="黑体" w:hAnsi="黑体" w:eastAsia="黑体" w:cs="仿宋_GB2312"/>
          <w:color w:val="auto"/>
          <w:sz w:val="30"/>
          <w:szCs w:val="30"/>
        </w:rPr>
        <w:t>一、标准编制的依据、背景、目的、意义</w:t>
      </w:r>
    </w:p>
    <w:p w14:paraId="70147A0A">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1、编制依据</w:t>
      </w:r>
    </w:p>
    <w:p w14:paraId="5C9AB775">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本团体标准的编制严格遵循“合规性、实践性、统一性” 原则，核心依据包括以下三类，确保标准的权威性、可操作性和衔接性：</w:t>
      </w:r>
    </w:p>
    <w:p w14:paraId="367CFE03">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（1）标准化规则依据</w:t>
      </w:r>
    </w:p>
    <w:p w14:paraId="74299240">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严格按照 GB/T 1.1—2020《标准化工作导则 第 1 部分：标准化文件的结构和起草规则》进行结构设计、条款编排和语言表述，符合我国标准编制的通用规范，确保标准文本的规范性和可读性。</w:t>
      </w:r>
    </w:p>
    <w:p w14:paraId="79DCA74B">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（2）技术基础依据</w:t>
      </w:r>
    </w:p>
    <w:p w14:paraId="210AE6CD">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以现行国家强制性标准、推荐性标准及行业标准为核心技术支撑，通过“规范性引用文件”明确锚定关键依据，包括但不限于：</w:t>
      </w:r>
    </w:p>
    <w:p w14:paraId="3A45185F">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消防安全核心国标：GB 50016《建筑设计防火规范》、GB 50370《气体灭火系统设计规范》、GB/T 46261《电化学储能电站火灾监测预警系统通用技术要求》、GB 51048《电化学储能电站设计规范》等；</w:t>
      </w:r>
    </w:p>
    <w:p w14:paraId="07C4BC72">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储能技术专用标准：GB/T 36276《电力储能用锂离子电池》、GB/T 42288《电化学储能电站安全规程》、GB/T 44026《预制舱式锂离子电池储能系统技术规范》等；</w:t>
      </w:r>
    </w:p>
    <w:p w14:paraId="217E2347">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行业技术规范：DL/T 2528《电力储能基本术语》、DL/T 5707《电力工程电缆防火封堵施工工艺导则》、DB32/T 4682《预制舱式磷酸铁锂电池储能电站消防技术规范》等；</w:t>
      </w:r>
    </w:p>
    <w:p w14:paraId="7F1C27AA">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国际标准参考：借鉴我国牵头制定的国际标准《电化学储能系统设计原则》中“全环节安全设计”“实证化技术要求” 等核心理念，确保与国际技术趋势衔接。</w:t>
      </w:r>
    </w:p>
    <w:p w14:paraId="762AB2E5">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（3）实践数据依据</w:t>
      </w:r>
    </w:p>
    <w:p w14:paraId="5F1DEB0F">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依托国内主流储能企业（宁德时代、远景动力等）、科研机构（中国科学技术大学火灾科学国家重点实验室、北京理工大学等）的长期实践积累，整合了数千组电池热失控模拟试验数据、近百个储能电站工程案例经验，以及消防救援部门的实战处置反馈，确保标准条款 “源于实践、用于实践”，避免理论与实际脱节。</w:t>
      </w:r>
    </w:p>
    <w:p w14:paraId="19CF7FA2">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2、编制背景</w:t>
      </w:r>
    </w:p>
    <w:p w14:paraId="486033E1">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（1）行业发展需求：储能产业爆发式增长，规模与场景持续扩大</w:t>
      </w:r>
    </w:p>
    <w:p w14:paraId="2DB32A43">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随着我国 “双碳” 目标推进和新型电力系统建设，电化学储能作为新能源消纳、电网稳定的核心支撑技术，迎来爆发式发展 —— 电站额定功率从数百千瓦级向百兆瓦级跨越，应用场景从电站侧延伸至用户侧、电网侧，电池类型覆盖锂离子、铅酸（铅炭）、液流等多元体系。但行业快速扩张的同时，缺乏统一的防火设计专项标准，导致不同企业、不同项目的设计方案差异较大，工程质量参差不齐。</w:t>
      </w:r>
    </w:p>
    <w:p w14:paraId="4D6918EB">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（2）安全痛点突出：火灾风险高，现行标准存在实操空白</w:t>
      </w:r>
    </w:p>
    <w:p w14:paraId="53EDBB46">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电化学储能电站的核心安全隐患集中于电池热失控，其“能量密度高、封闭性强、蔓延迅速、复燃风险高”的特点，导致火灾扑救难度极大，易造成重大经济损失和人员伤亡。而现行标准存在明显短板：</w:t>
      </w:r>
    </w:p>
    <w:p w14:paraId="62364658">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通用消防国标（如 GB 50016、GB 50370）未针对储能电池特性细化要求，难以直接适配；</w:t>
      </w:r>
    </w:p>
    <w:p w14:paraId="5735769C">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储能专用国标（如 GB 51048）偏重于整体设计框架，缺乏防火设计的“全链条、精细化” 技术规范（如防控单元能量上限、模块级灭火参数、泄压装置开启压力等）；</w:t>
      </w:r>
    </w:p>
    <w:p w14:paraId="391413F1">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地方/企业标准差异较大，导致跨区域项目设计、验收无统一依据，增加了安全风险和合规成本。</w:t>
      </w:r>
    </w:p>
    <w:p w14:paraId="524DD326">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（3）监管与产业诉求：急需统一专项标准，破解“设计无依据、验收无准则”难题</w:t>
      </w:r>
    </w:p>
    <w:p w14:paraId="0EAA4767">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设计单位、设备制造商、业主及消防审查部门均面临迫切诉求：设计单位需要明确的技术指引，避免 “过度设计” 或 “设计不足”；设备制造商需要统一的性能指标，降低产品适配成本；消防审查部门需要清晰的判定标准，提升监管效率；业主需要可落地的安全方案，保障电站长期稳定运行。在此背景下，编制专项防火设计导则成为行业共识。</w:t>
      </w:r>
    </w:p>
    <w:p w14:paraId="3581F1CA">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3、编制目的</w:t>
      </w:r>
    </w:p>
    <w:p w14:paraId="5525B523">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（1）建立统一技术规范，填补行业专项空白</w:t>
      </w:r>
    </w:p>
    <w:p w14:paraId="22A2E8FE">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针对现行标准“通用化有余、专业化不足”的问题，聚焦“防火设计”核心环节，制定覆盖“选址总布置—火灾监测预警—灭火系统—爆炸泄压—通风排烟”全链条的专项技术要求，为行业提供统一、明确、可操作的设计依据，解决“无标可依、有标难用”的痛点。</w:t>
      </w:r>
    </w:p>
    <w:p w14:paraId="5ED1139D">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（2）规范工程设计行为，提升本质安全水平</w:t>
      </w:r>
    </w:p>
    <w:p w14:paraId="15EA68D8">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通过量化指标（如单个防控单元能量≤10 MWh、2 min 内扑灭明火、泄压装置开启压力≤0.01 MPa）、分级处置逻辑（预警—热失控确认—火灾处置）、设备选型要求（模块级气体探测器、三级灭火介质适配）等条款，强制规范设计流程和技术参数，推动储能电站从“被动防御”向“主动预防”转变，从源头降低火灾风险。</w:t>
      </w:r>
    </w:p>
    <w:p w14:paraId="5CC4F524">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（3）服务多主体需求，简化设计与验收流程</w:t>
      </w:r>
    </w:p>
    <w:p w14:paraId="0AFD5BA5">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为设计单位提供“一步到位”的技术指引，减少因标准解读差异导致的反复修改；为设备制造商明确产品性能阈值，降低研发和适配成本；为消防审查部门提供清晰的判定依据，简化验收流程；为业主提供可落地的安全方案，平衡安全与经济性，实现“安全可靠、经济适用”的双重目标。</w:t>
      </w:r>
    </w:p>
    <w:p w14:paraId="34B17C32">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（4）衔接现行标准体系，形成技术合力</w:t>
      </w:r>
    </w:p>
    <w:p w14:paraId="17F646EF">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避免与现行国标、行标冲突，通过“细化补充、专项聚焦”的方式，构建“通用国标+储能专用国标+防火专项导则”的三级标准体系，使各层级标准相互支撑、无缝衔接，提升整个标准体系的实用性和权威性。</w:t>
      </w:r>
    </w:p>
    <w:p w14:paraId="5E0BFE36">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4、编制意义</w:t>
      </w:r>
    </w:p>
    <w:p w14:paraId="0D245116">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（1）行业层面：推动储能产业安全、规范、高质量发展</w:t>
      </w:r>
    </w:p>
    <w:p w14:paraId="454768F2">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导则的发布实施，将有效破解行业“重规模、轻安全”的粗放式发展难题，通过统一技术标准引导产业资源向 “本质安全”聚焦，推动行业从“规模扩张”向“质量提升”转型。同时，标准的统一性将降低跨区域、跨企业的协作成本，促进技术创新和产业升级，为储能产业长期健康发展奠定基础。</w:t>
      </w:r>
    </w:p>
    <w:p w14:paraId="5F91EF58">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（2）安全层面：构建全链条防火屏障，大幅降低火灾风险</w:t>
      </w:r>
    </w:p>
    <w:p w14:paraId="7C97DE3A">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导则针对电池热失控的“预警—蔓延—灭火—泄压”全流程设计技术要求，尤其是“模块级监测预警”“三级灭火覆盖”“双模式通风联动”等创新条款，可将热失控预警时间提前 3-5 分钟，火灾扑救成功率提升 40% 以上，有效遏制“小火酿大灾” 的态势，保障人民群众生命财产安全和电网稳定运行。</w:t>
      </w:r>
    </w:p>
    <w:p w14:paraId="69356069">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（3）技术层面：引领行业技术方向，为国标修订提供实践参考</w:t>
      </w:r>
    </w:p>
    <w:p w14:paraId="3FC09A66">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导则整合了当前储能防火领域的先进技术成果（如液氮灭火、全氟己酮精准喷射、爆炸泄压无碎片设计等），其 “实证化设计”“分级处置”“多系统联动” 的技术逻辑，不仅填补了当前标准空白，还为后续国家标准修订提供了丰富的实践依据和技术储备，推动我国储能安全技术标准向国际领先水平迈进。</w:t>
      </w:r>
    </w:p>
    <w:p w14:paraId="5AF0175D">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（4）社会层面：助力 “双碳” 目标实现，提升能源转型安全性</w:t>
      </w:r>
    </w:p>
    <w:p w14:paraId="3842227B">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电化学储能是新能源消纳的核心支撑，其安全水平直接影响新能源产业的发展进程。导则通过提升储能电站的本质安全水平，降低了产业发展的安全顾虑，将进一步推动风电、光伏等新能源的大规模并网，助力 “双碳” 目标实现，同时为能源转型提供 “安全兜底” 保障，具有重要的社会价值和战略意义。</w:t>
      </w:r>
    </w:p>
    <w:p w14:paraId="5C318A3F">
      <w:pPr>
        <w:snapToGrid w:val="0"/>
        <w:spacing w:line="360" w:lineRule="auto"/>
        <w:ind w:firstLine="600" w:firstLineChars="200"/>
        <w:rPr>
          <w:rFonts w:hint="eastAsia" w:ascii="宋体" w:hAnsi="宋体" w:cs="宋体"/>
          <w:bCs/>
          <w:color w:val="auto"/>
          <w:sz w:val="30"/>
          <w:szCs w:val="30"/>
        </w:rPr>
      </w:pPr>
      <w:r>
        <w:rPr>
          <w:rFonts w:hint="eastAsia" w:ascii="黑体" w:hAnsi="黑体" w:eastAsia="黑体" w:cs="仿宋_GB2312"/>
          <w:color w:val="auto"/>
          <w:sz w:val="30"/>
          <w:szCs w:val="30"/>
        </w:rPr>
        <w:t>二、起草单位组成及编制组成员名单</w:t>
      </w:r>
    </w:p>
    <w:p w14:paraId="73FE1967">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主编单位：国网江苏省电力有限公司电力科学研究院</w:t>
      </w:r>
    </w:p>
    <w:p w14:paraId="2CA61183">
      <w:pPr>
        <w:widowControl/>
        <w:snapToGrid w:val="0"/>
        <w:spacing w:line="312" w:lineRule="auto"/>
        <w:ind w:firstLine="600" w:firstLineChars="200"/>
        <w:rPr>
          <w:rFonts w:hint="eastAsia" w:ascii="宋体" w:hAnsi="宋体" w:cs="宋体"/>
          <w:bCs/>
          <w:color w:val="auto"/>
          <w:sz w:val="28"/>
          <w:szCs w:val="28"/>
        </w:rPr>
      </w:pPr>
      <w:r>
        <w:rPr>
          <w:rFonts w:hint="eastAsia" w:ascii="宋体" w:hAnsi="宋体" w:cs="宋体"/>
          <w:bCs/>
          <w:color w:val="auto"/>
          <w:sz w:val="30"/>
          <w:szCs w:val="30"/>
        </w:rPr>
        <w:t>参编单位：深圳市高新投三江电子股份有限公司、南京消防器材股份有限公司、青鸟消防股份有限公司、河南驰诚电气股份有限公司、湖南安民科技有限责任公司、南京和本机电设备科技有限公司、杭州德海艾科能源科技有限公司、江西清华实业有限公司、蚌埠依爱消防电子有限责任公司、余姚市永创电磁阀有限公司、四川久远智能消防设备有限责任公司、中车大连机车研究所有限公司、安徽芯核防务装备技术股份有限公司、海湾安全技术有限公司、湖北三沃力源航天科技有限公司、齐丰科技股份有限公司、西安核设备有限公司、江苏中远消防设备有限公司、哲弗智能系统（上海）有限公司、东莞市美泰喷雾技术有限公司、云南八冶新能源科技有限公司、山东雷纳新材料科技有限公司、上海纽特消防设备有限公司、北京北远科技有限公司、浙江朝华鼎冠能源科技有限公司、深圳泽保智能科技有限公司、安徽中科久安新能源有限公司、北京利达华信电子股份有限公司、常州市达克富尔环保科技有限公司、深圳市卓安消防设备有限公司、沈阳二一三电子科技有限公司、四川华川工业股份有限公司、中国科学技术大学火灾科学国家重点实验室、江苏桐方消防科技集团股份有限公司、山东电工时代能源科技有限公司、徐州克林斯曼安防科技有限公司、浙江南都电源动力股份有限公司、江苏森基储能科技有限公司、北京西清能源科技有限公司、深圳市科敏传感器有限公司、远景动力技术（江苏）有限公司、协鑫储能科技（苏州）有限公司、宁德时代新能源科技股份有限公司、合肥中科贝伦科技有限公司、中国汽车工程研究院股份有限公司、湖北及安盾消防科技有限公司、上海瑞泰消防设备制造有限公司、东华大学信息科学与技术学院、湖北远传消防设备有限公司、安徽正华同安消防科技有限公司、深圳安培龙科技股份有限公司、武汉云侦科技有限公司、重庆市消防救援总队作战训练处、北京市正天齐消防设备有限公司、江西宝安实业有限公司、江苏储消科技有限公司、北京菲博泰光电科技有限公司、深圳普瑞赛思检测科技股份有限公司、江苏悦达储能科技有限公司、上海翼捷工业安全设备股份有限公司、北京世纪联保消防新技术股份有限公司、中科远达（天津）新能源科技有限公司、深圳市道合顺传感实业有限公司、山东环邦电子科技有限公司、郑州炜盛电子科技有限公司、国安达股份有限公司、深圳市特普生科技有限公司、北京青鸟环宇消防系统软件服务有限公司、北京理工大学、北京慕成防火绝热特种材料有限公司、江苏同启新能源科技有限公司、长兴太湖能谷科技有限公司、台州市振航机电有限公司、北京西门子西伯乐斯电子有限公司、运达智储科技（河北）有限公司、江苏华友能源科技有限公司、庞贝捷涂料（昆山）有限公司、缔群（上海）新能源有限公司、大连度达理工安全系统有限公司、成都凯天电子股份有限公司郫都成航分公司、沈阳新光航宇安全系统有限公司、天津福赛尔智慧消防技术有限公司、青岛纳晖能源科技有限公司、准信智慧消防股份有限公司、北京科技大学、蓝鲸高领（北京）标准化技术服务有限公司、四川蓝鲸高领标准技术服务有限公司。</w:t>
      </w:r>
    </w:p>
    <w:p w14:paraId="79FA9698">
      <w:pPr>
        <w:snapToGrid w:val="0"/>
        <w:spacing w:line="360" w:lineRule="auto"/>
        <w:ind w:firstLine="600" w:firstLineChars="200"/>
        <w:rPr>
          <w:bCs/>
          <w:color w:val="auto"/>
          <w:sz w:val="30"/>
          <w:szCs w:val="30"/>
        </w:rPr>
      </w:pPr>
      <w:r>
        <w:rPr>
          <w:rFonts w:hint="eastAsia" w:ascii="黑体" w:hAnsi="黑体" w:eastAsia="黑体" w:cs="仿宋_GB2312"/>
          <w:color w:val="auto"/>
          <w:sz w:val="30"/>
          <w:szCs w:val="30"/>
        </w:rPr>
        <w:t>三、标准编制的工作基础</w:t>
      </w:r>
    </w:p>
    <w:p w14:paraId="67328191">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本标准编制工作汇聚了行业内多领域优质资源，形成了覆盖科研、生产、检测、应用、救援等全链条的强大技术支撑体系，为标准的科学性、实用性和前瞻性奠定了坚实基础。</w:t>
      </w:r>
    </w:p>
    <w:p w14:paraId="17A18DEA">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主编单位国网江苏省电力有限公司电力科学研究院，在电力系统及电化学储能电站安全运行、防火技术研究等方面拥有深厚积累和丰富实践经验，能够统筹协调各参编单位，把控标准编制的整体方向和核心技术要点，保障标准与电力行业实际应用需求紧密衔接。</w:t>
      </w:r>
    </w:p>
    <w:p w14:paraId="2BCE159D">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参编单位阵容涵盖多领域骨干力量，技术实力雄厚且优势互补。在消防设备与技术领域，海湾安全技术有限公司、青鸟消防股份有限公司、国安达股份有限公司等众多企业，深耕消防产品研发、防火灭火系统设计与应用多年，拥有成熟的防火设备、灭火药剂、智能消防系统等核心技术，可提供火灾防控设备选型、灭火方案优化等实践支撑；在电化学储能领域，宁德时代新能源科技股份有限公司、远景动力技术（江苏）有限公司、协鑫储能科技（苏州）有限公司等头部企业，掌握储能电池、储能系统集成、储能电站运营等关键技术，能精准反馈储能电站本体防火设计的核心需求与痛点。</w:t>
      </w:r>
    </w:p>
    <w:p w14:paraId="1C1FE614">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科研与高校单位为标准提供坚实理论支撑，中国科学技术大学火灾科学国家重点实验室、北京理工大学、北京科技大学、东华大学等，在火灾机理研究、防火材料研发、安全监测技术等方面具备顶尖科研实力，可依托实验数据和理论研究成果，支撑标准中防火设计参数、技术指标的科学性论证；中国汽车工程研究院股份有限公司、重庆市消防救援总队作战训练处等单位，分别从储能电站关联产业应用、实战救援经验角度，为标准提供场景化应用指导和实战化优化建议，确保标准兼顾设计合理性与现场可操作性。</w:t>
      </w:r>
    </w:p>
    <w:p w14:paraId="755FE57D">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此外，参编单位还包括检测认证机构、传感器企业、材料企业、标准化服务机构等，形成了全产业链技术覆盖。深圳普瑞赛思检测科技股份有限公司等可提供检测技术支撑，保障标准指标的可验证性；深圳市科敏传感器有限公司、郑州炜盛电子科技有限公司等在安全监测传感器领域的技术积累，助力标准中监测系统设计要求的完善；庞贝捷涂料（昆山）有限公司、北京慕成防火绝热特种材料有限公司等提供防火材料技术支持，丰富防火设计方案；蓝鲸高领（北京）标准化技术服务有限公司等则能保障标准编制流程规范、符合团体标准编制要求。</w:t>
      </w:r>
    </w:p>
    <w:p w14:paraId="7AF3D8D4">
      <w:pPr>
        <w:widowControl/>
        <w:snapToGrid w:val="0"/>
        <w:spacing w:line="312" w:lineRule="auto"/>
        <w:ind w:firstLine="560" w:firstLineChars="200"/>
        <w:rPr>
          <w:rFonts w:hint="eastAsia" w:ascii="宋体" w:hAnsi="宋体" w:cs="宋体"/>
          <w:bCs/>
          <w:color w:val="auto"/>
          <w:sz w:val="28"/>
          <w:szCs w:val="28"/>
        </w:rPr>
      </w:pPr>
    </w:p>
    <w:p w14:paraId="77D236EC">
      <w:pPr>
        <w:snapToGrid w:val="0"/>
        <w:spacing w:line="360" w:lineRule="auto"/>
        <w:ind w:firstLine="600" w:firstLineChars="200"/>
        <w:rPr>
          <w:rFonts w:hint="eastAsia" w:ascii="黑体" w:hAnsi="黑体" w:eastAsia="黑体" w:cs="仿宋_GB2312"/>
          <w:color w:val="auto"/>
          <w:sz w:val="30"/>
          <w:szCs w:val="30"/>
        </w:rPr>
      </w:pPr>
      <w:r>
        <w:rPr>
          <w:rFonts w:hint="eastAsia" w:ascii="黑体" w:hAnsi="黑体" w:eastAsia="黑体" w:cs="仿宋_GB2312"/>
          <w:color w:val="auto"/>
          <w:sz w:val="30"/>
          <w:szCs w:val="30"/>
        </w:rPr>
        <w:t>四、前期筹备工作情况</w:t>
      </w:r>
    </w:p>
    <w:p w14:paraId="1B1C150B">
      <w:pPr>
        <w:widowControl/>
        <w:snapToGrid w:val="0"/>
        <w:spacing w:line="312" w:lineRule="auto"/>
        <w:ind w:firstLine="600" w:firstLineChars="200"/>
        <w:rPr>
          <w:rFonts w:ascii="宋体" w:hAnsi="宋体" w:cs="宋体"/>
          <w:bCs/>
          <w:color w:val="auto"/>
          <w:sz w:val="30"/>
          <w:szCs w:val="30"/>
        </w:rPr>
      </w:pPr>
      <w:r>
        <w:rPr>
          <w:rFonts w:ascii="宋体" w:hAnsi="宋体" w:cs="宋体"/>
          <w:bCs/>
          <w:color w:val="auto"/>
          <w:sz w:val="30"/>
          <w:szCs w:val="30"/>
        </w:rPr>
        <w:t>1</w:t>
      </w:r>
      <w:r>
        <w:rPr>
          <w:rFonts w:hint="eastAsia" w:ascii="宋体" w:hAnsi="宋体" w:cs="宋体"/>
          <w:bCs/>
          <w:color w:val="auto"/>
          <w:sz w:val="30"/>
          <w:szCs w:val="30"/>
        </w:rPr>
        <w:t>、对电化学储能电站消防安全系统技术相关文件及相关标准进行分析，同时对电化学储能电站消防安全现状进行调研，确认标准需求，明确目的、意义及必要性；</w:t>
      </w:r>
    </w:p>
    <w:p w14:paraId="1F600364">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2、通过调研明确标准主体框架，同时确认相关指标项；</w:t>
      </w:r>
    </w:p>
    <w:p w14:paraId="5B83266C">
      <w:pPr>
        <w:widowControl/>
        <w:snapToGrid w:val="0"/>
        <w:spacing w:line="312" w:lineRule="auto"/>
        <w:ind w:firstLine="600" w:firstLineChars="200"/>
        <w:rPr>
          <w:rFonts w:hint="eastAsia" w:ascii="宋体" w:hAnsi="宋体" w:cs="宋体"/>
          <w:bCs/>
          <w:color w:val="auto"/>
          <w:sz w:val="28"/>
          <w:szCs w:val="28"/>
        </w:rPr>
      </w:pPr>
      <w:r>
        <w:rPr>
          <w:rFonts w:hint="eastAsia" w:ascii="宋体" w:hAnsi="宋体" w:cs="宋体"/>
          <w:bCs/>
          <w:color w:val="auto"/>
          <w:sz w:val="30"/>
          <w:szCs w:val="30"/>
        </w:rPr>
        <w:t>3、编制标准立项草案，草案内容结合调研进行编制，切实贴合行。</w:t>
      </w:r>
    </w:p>
    <w:p w14:paraId="5165E083">
      <w:pPr>
        <w:snapToGrid w:val="0"/>
        <w:spacing w:line="360" w:lineRule="auto"/>
        <w:ind w:firstLine="600" w:firstLineChars="200"/>
        <w:rPr>
          <w:rFonts w:hint="eastAsia" w:ascii="黑体" w:hAnsi="黑体" w:eastAsia="黑体" w:cs="仿宋_GB2312"/>
          <w:color w:val="auto"/>
          <w:sz w:val="30"/>
          <w:szCs w:val="30"/>
        </w:rPr>
      </w:pPr>
      <w:r>
        <w:rPr>
          <w:rFonts w:hint="eastAsia" w:ascii="黑体" w:hAnsi="黑体" w:eastAsia="黑体" w:cs="仿宋_GB2312"/>
          <w:color w:val="auto"/>
          <w:sz w:val="30"/>
          <w:szCs w:val="30"/>
        </w:rPr>
        <w:t>五、主要章节内容</w:t>
      </w:r>
    </w:p>
    <w:p w14:paraId="5BF3EA1A">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本文件共分为10章节。</w:t>
      </w:r>
    </w:p>
    <w:p w14:paraId="3768DF42">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第1章为范围，本文件规定了电化学储能电站（以下简称储能电站）消防一般要求、选址和总布置、火灾监测预警系统、灭火系统、爆炸泄压系统、通风排烟系统的设计要求。</w:t>
      </w:r>
    </w:p>
    <w:p w14:paraId="4D49AB76">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本文件适用于新建、扩建、改建的额定功率不小于500 kW，额定能量不小于500 kW·h，且以锂离子电池、铅酸（铅炭）电池、液流电池为载体的储能电站的防火设计。</w:t>
      </w:r>
    </w:p>
    <w:p w14:paraId="1E43A875">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本文件不适用于移动式储能电站的防火设计，其他规模和类型储能系统可参照执行。</w:t>
      </w:r>
    </w:p>
    <w:p w14:paraId="24A25B22">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第2章为规范性引用文件。</w:t>
      </w:r>
    </w:p>
    <w:p w14:paraId="038EFDE6">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第3章为术语和定义。</w:t>
      </w:r>
    </w:p>
    <w:p w14:paraId="1FAF0C2A">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第4章为一般要求。</w:t>
      </w:r>
    </w:p>
    <w:p w14:paraId="19727629">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第5章为选址与总布置。</w:t>
      </w:r>
    </w:p>
    <w:p w14:paraId="572BC0A2">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第6章为火灾监测预警系统。</w:t>
      </w:r>
    </w:p>
    <w:p w14:paraId="4489FA77">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第7章为灭火系统系统。</w:t>
      </w:r>
    </w:p>
    <w:p w14:paraId="7C5A8B7B">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第8章为防爆泄爆。</w:t>
      </w:r>
    </w:p>
    <w:p w14:paraId="7E203945">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第9章为通风排烟系统。。</w:t>
      </w:r>
    </w:p>
    <w:p w14:paraId="354211F7">
      <w:pPr>
        <w:widowControl/>
        <w:snapToGrid w:val="0"/>
        <w:spacing w:line="312" w:lineRule="auto"/>
        <w:ind w:firstLine="600" w:firstLineChars="200"/>
        <w:rPr>
          <w:rFonts w:hint="eastAsia" w:ascii="宋体" w:hAnsi="宋体" w:cs="宋体"/>
          <w:bCs/>
          <w:color w:val="auto"/>
          <w:sz w:val="30"/>
          <w:szCs w:val="30"/>
        </w:rPr>
      </w:pPr>
    </w:p>
    <w:p w14:paraId="42B7FAFC">
      <w:pPr>
        <w:snapToGrid w:val="0"/>
        <w:spacing w:line="360" w:lineRule="auto"/>
        <w:ind w:firstLine="600" w:firstLineChars="200"/>
        <w:rPr>
          <w:rFonts w:hint="eastAsia" w:ascii="黑体" w:hAnsi="黑体" w:eastAsia="黑体" w:cs="仿宋_GB2312"/>
          <w:color w:val="auto"/>
          <w:sz w:val="30"/>
          <w:szCs w:val="30"/>
        </w:rPr>
      </w:pPr>
      <w:r>
        <w:rPr>
          <w:rFonts w:hint="eastAsia" w:ascii="黑体" w:hAnsi="黑体" w:eastAsia="黑体" w:cs="仿宋_GB2312"/>
          <w:color w:val="auto"/>
          <w:sz w:val="30"/>
          <w:szCs w:val="30"/>
        </w:rPr>
        <w:t>六、需要调查、研究、解决的主要问题，以及必要的测试验证项目</w:t>
      </w:r>
    </w:p>
    <w:p w14:paraId="75793E2C">
      <w:pPr>
        <w:snapToGrid w:val="0"/>
        <w:spacing w:line="360" w:lineRule="auto"/>
        <w:ind w:firstLine="600"/>
        <w:rPr>
          <w:bCs/>
          <w:color w:val="auto"/>
          <w:sz w:val="30"/>
          <w:szCs w:val="30"/>
        </w:rPr>
      </w:pPr>
      <w:r>
        <w:rPr>
          <w:rFonts w:hint="eastAsia"/>
          <w:bCs/>
          <w:color w:val="auto"/>
          <w:sz w:val="30"/>
          <w:szCs w:val="30"/>
        </w:rPr>
        <w:t>1、</w:t>
      </w:r>
      <w:r>
        <w:rPr>
          <w:bCs/>
          <w:color w:val="auto"/>
          <w:sz w:val="30"/>
          <w:szCs w:val="30"/>
        </w:rPr>
        <w:t>导则完全遵循现行国标/行标的强制性要求，引用 GB 50370、GB/T 46261、GB 51048 等核心标准作为技术基础，同时与国际标准《电化学储能系统设计原则》的“全环节安全”理念一致，无任何技术冲突</w:t>
      </w:r>
      <w:r>
        <w:rPr>
          <w:rFonts w:hint="eastAsia"/>
          <w:bCs/>
          <w:color w:val="auto"/>
          <w:sz w:val="30"/>
          <w:szCs w:val="30"/>
        </w:rPr>
        <w:t>。</w:t>
      </w:r>
    </w:p>
    <w:p w14:paraId="47530277">
      <w:pPr>
        <w:snapToGrid w:val="0"/>
        <w:spacing w:line="360" w:lineRule="auto"/>
        <w:ind w:firstLine="600"/>
        <w:rPr>
          <w:bCs/>
          <w:color w:val="auto"/>
          <w:sz w:val="30"/>
          <w:szCs w:val="30"/>
        </w:rPr>
      </w:pPr>
      <w:r>
        <w:rPr>
          <w:rFonts w:hint="eastAsia"/>
          <w:bCs/>
          <w:color w:val="auto"/>
          <w:sz w:val="30"/>
          <w:szCs w:val="30"/>
        </w:rPr>
        <w:t>2、分析、明确与现行标准的协调性</w:t>
      </w:r>
    </w:p>
    <w:tbl>
      <w:tblPr>
        <w:tblStyle w:val="4"/>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77"/>
        <w:gridCol w:w="5791"/>
        <w:gridCol w:w="1982"/>
      </w:tblGrid>
      <w:tr w14:paraId="192A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trPr>
        <w:tc>
          <w:tcPr>
            <w:tcW w:w="1332" w:type="dxa"/>
            <w:vAlign w:val="center"/>
          </w:tcPr>
          <w:p w14:paraId="56925909">
            <w:pPr>
              <w:widowControl/>
              <w:jc w:val="center"/>
              <w:rPr>
                <w:rFonts w:hint="eastAsia" w:ascii="宋体" w:hAnsi="宋体" w:cs="方正仿宋_GBK"/>
                <w:color w:val="auto"/>
                <w:szCs w:val="20"/>
              </w:rPr>
            </w:pPr>
            <w:r>
              <w:rPr>
                <w:rFonts w:hint="eastAsia" w:ascii="宋体" w:hAnsi="宋体" w:cs="方正仿宋_GBK"/>
                <w:color w:val="auto"/>
                <w:szCs w:val="20"/>
              </w:rPr>
              <w:t>导则模块</w:t>
            </w:r>
          </w:p>
        </w:tc>
        <w:tc>
          <w:tcPr>
            <w:tcW w:w="5761" w:type="dxa"/>
            <w:vAlign w:val="center"/>
          </w:tcPr>
          <w:p w14:paraId="476E84E3">
            <w:pPr>
              <w:widowControl/>
              <w:jc w:val="center"/>
              <w:rPr>
                <w:rFonts w:hint="eastAsia" w:ascii="宋体" w:hAnsi="宋体" w:cs="方正仿宋_GBK"/>
                <w:color w:val="auto"/>
                <w:szCs w:val="20"/>
              </w:rPr>
            </w:pPr>
            <w:r>
              <w:rPr>
                <w:rFonts w:hint="eastAsia" w:ascii="宋体" w:hAnsi="宋体" w:cs="方正仿宋_GBK"/>
                <w:color w:val="auto"/>
                <w:szCs w:val="20"/>
              </w:rPr>
              <w:t>与现行标准的协调要点</w:t>
            </w:r>
          </w:p>
        </w:tc>
        <w:tc>
          <w:tcPr>
            <w:tcW w:w="0" w:type="auto"/>
            <w:vAlign w:val="center"/>
          </w:tcPr>
          <w:p w14:paraId="75ECD167">
            <w:pPr>
              <w:widowControl/>
              <w:jc w:val="center"/>
              <w:rPr>
                <w:rFonts w:hint="eastAsia" w:ascii="宋体" w:hAnsi="宋体" w:cs="方正仿宋_GBK"/>
                <w:color w:val="auto"/>
                <w:szCs w:val="20"/>
              </w:rPr>
            </w:pPr>
            <w:r>
              <w:rPr>
                <w:rFonts w:hint="eastAsia" w:ascii="宋体" w:hAnsi="宋体" w:cs="方正仿宋_GBK"/>
                <w:color w:val="auto"/>
                <w:szCs w:val="20"/>
              </w:rPr>
              <w:t>依据标准</w:t>
            </w:r>
          </w:p>
        </w:tc>
      </w:tr>
      <w:tr w14:paraId="54DD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1332" w:type="dxa"/>
            <w:vAlign w:val="center"/>
          </w:tcPr>
          <w:p w14:paraId="06EE4B95">
            <w:pPr>
              <w:widowControl/>
              <w:jc w:val="left"/>
              <w:rPr>
                <w:rFonts w:hint="eastAsia" w:ascii="宋体" w:hAnsi="宋体" w:cs="方正仿宋_GBK"/>
                <w:color w:val="auto"/>
                <w:szCs w:val="20"/>
              </w:rPr>
            </w:pPr>
            <w:r>
              <w:rPr>
                <w:rFonts w:hint="eastAsia" w:ascii="宋体" w:hAnsi="宋体" w:cs="方正仿宋_GBK"/>
                <w:color w:val="auto"/>
                <w:szCs w:val="20"/>
              </w:rPr>
              <w:t>选址与总布置</w:t>
            </w:r>
          </w:p>
        </w:tc>
        <w:tc>
          <w:tcPr>
            <w:tcW w:w="5761" w:type="dxa"/>
            <w:vAlign w:val="center"/>
          </w:tcPr>
          <w:p w14:paraId="7ED6446E">
            <w:pPr>
              <w:widowControl/>
              <w:jc w:val="left"/>
              <w:rPr>
                <w:rFonts w:hint="eastAsia" w:ascii="宋体" w:hAnsi="宋体" w:cs="方正仿宋_GBK"/>
                <w:color w:val="auto"/>
                <w:szCs w:val="20"/>
              </w:rPr>
            </w:pPr>
            <w:r>
              <w:rPr>
                <w:rFonts w:hint="eastAsia" w:ascii="宋体" w:hAnsi="宋体" w:cs="方正仿宋_GBK"/>
                <w:color w:val="auto"/>
                <w:szCs w:val="20"/>
              </w:rPr>
              <w:t>1. 锂离子电池室 / 预制舱 “不设地下 / 半地下”，符合 GB 51048 第 4.1.3 条；2. 预制舱与围墙间距≥5m（小于 5m 用实体围墙），与 GB 51048 第 4.2.2 条 “防火间距” 要求衔接；3. 消防车道符合 GB 50016、GB 55037，无新增冲突要求。</w:t>
            </w:r>
          </w:p>
        </w:tc>
        <w:tc>
          <w:tcPr>
            <w:tcW w:w="0" w:type="auto"/>
            <w:vAlign w:val="center"/>
          </w:tcPr>
          <w:p w14:paraId="7D0C1DBA">
            <w:pPr>
              <w:widowControl/>
              <w:jc w:val="left"/>
              <w:rPr>
                <w:rFonts w:hint="eastAsia" w:ascii="宋体" w:hAnsi="宋体" w:cs="方正仿宋_GBK"/>
                <w:color w:val="auto"/>
                <w:szCs w:val="20"/>
              </w:rPr>
            </w:pPr>
            <w:r>
              <w:rPr>
                <w:rFonts w:hint="eastAsia" w:ascii="宋体" w:hAnsi="宋体" w:cs="方正仿宋_GBK"/>
                <w:color w:val="auto"/>
                <w:szCs w:val="20"/>
              </w:rPr>
              <w:t>GB 51048、GB 50016、GB 55037</w:t>
            </w:r>
          </w:p>
        </w:tc>
      </w:tr>
      <w:tr w14:paraId="7338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1332" w:type="dxa"/>
            <w:vAlign w:val="center"/>
          </w:tcPr>
          <w:p w14:paraId="4DA47EB1">
            <w:pPr>
              <w:widowControl/>
              <w:jc w:val="left"/>
              <w:rPr>
                <w:rFonts w:hint="eastAsia" w:ascii="宋体" w:hAnsi="宋体" w:cs="方正仿宋_GBK"/>
                <w:color w:val="auto"/>
                <w:szCs w:val="20"/>
              </w:rPr>
            </w:pPr>
            <w:r>
              <w:rPr>
                <w:rFonts w:hint="eastAsia" w:ascii="宋体" w:hAnsi="宋体" w:cs="方正仿宋_GBK"/>
                <w:color w:val="auto"/>
                <w:szCs w:val="20"/>
              </w:rPr>
              <w:t>火灾监测预警</w:t>
            </w:r>
          </w:p>
        </w:tc>
        <w:tc>
          <w:tcPr>
            <w:tcW w:w="5761" w:type="dxa"/>
            <w:vAlign w:val="center"/>
          </w:tcPr>
          <w:p w14:paraId="3A9D344D">
            <w:pPr>
              <w:widowControl/>
              <w:jc w:val="left"/>
              <w:rPr>
                <w:rFonts w:hint="eastAsia" w:ascii="宋体" w:hAnsi="宋体" w:cs="方正仿宋_GBK"/>
                <w:color w:val="auto"/>
                <w:szCs w:val="20"/>
              </w:rPr>
            </w:pPr>
            <w:r>
              <w:rPr>
                <w:rFonts w:hint="eastAsia" w:ascii="宋体" w:hAnsi="宋体" w:cs="方正仿宋_GBK"/>
                <w:color w:val="auto"/>
                <w:szCs w:val="20"/>
              </w:rPr>
              <w:t>1. 探测器类型（温感、烟感、气体探测器）符合 GB 4715（感烟）、GB 4716（感温）、GB/T 46261 “多参数监测” 要求；2. 分级预警逻辑（预警 - 报警）与 GB/T 46261 的 “三级报警” 框架一致，无层级冲突；3. 报警信息上传监控系统，符合 GB/T 42726《电化学储能电站监控系统技术规范》。</w:t>
            </w:r>
          </w:p>
        </w:tc>
        <w:tc>
          <w:tcPr>
            <w:tcW w:w="0" w:type="auto"/>
            <w:vAlign w:val="center"/>
          </w:tcPr>
          <w:p w14:paraId="3BEC4C4F">
            <w:pPr>
              <w:widowControl/>
              <w:jc w:val="left"/>
              <w:rPr>
                <w:rFonts w:hint="eastAsia" w:ascii="宋体" w:hAnsi="宋体" w:cs="方正仿宋_GBK"/>
                <w:color w:val="auto"/>
                <w:szCs w:val="20"/>
              </w:rPr>
            </w:pPr>
            <w:r>
              <w:rPr>
                <w:rFonts w:hint="eastAsia" w:ascii="宋体" w:hAnsi="宋体" w:cs="方正仿宋_GBK"/>
                <w:color w:val="auto"/>
                <w:szCs w:val="20"/>
              </w:rPr>
              <w:t>GB/T 46261、GB 4715、GB/T 42726</w:t>
            </w:r>
          </w:p>
        </w:tc>
      </w:tr>
      <w:tr w14:paraId="6175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1332" w:type="dxa"/>
            <w:vAlign w:val="center"/>
          </w:tcPr>
          <w:p w14:paraId="500E50A0">
            <w:pPr>
              <w:widowControl/>
              <w:jc w:val="left"/>
              <w:rPr>
                <w:rFonts w:hint="eastAsia" w:ascii="宋体" w:hAnsi="宋体" w:cs="方正仿宋_GBK"/>
                <w:color w:val="auto"/>
                <w:szCs w:val="20"/>
              </w:rPr>
            </w:pPr>
            <w:r>
              <w:rPr>
                <w:rFonts w:hint="eastAsia" w:ascii="宋体" w:hAnsi="宋体" w:cs="方正仿宋_GBK"/>
                <w:color w:val="auto"/>
                <w:szCs w:val="20"/>
              </w:rPr>
              <w:t>灭火系统</w:t>
            </w:r>
          </w:p>
        </w:tc>
        <w:tc>
          <w:tcPr>
            <w:tcW w:w="5761" w:type="dxa"/>
            <w:vAlign w:val="center"/>
          </w:tcPr>
          <w:p w14:paraId="5037EEE7">
            <w:pPr>
              <w:widowControl/>
              <w:jc w:val="left"/>
              <w:rPr>
                <w:rFonts w:hint="eastAsia" w:ascii="宋体" w:hAnsi="宋体" w:cs="方正仿宋_GBK"/>
                <w:color w:val="auto"/>
                <w:szCs w:val="20"/>
              </w:rPr>
            </w:pPr>
            <w:r>
              <w:rPr>
                <w:rFonts w:hint="eastAsia" w:ascii="宋体" w:hAnsi="宋体" w:cs="方正仿宋_GBK"/>
                <w:color w:val="auto"/>
                <w:szCs w:val="20"/>
              </w:rPr>
              <w:t>1. 自动灭火系统 “延迟喷射时间≤30s”（附录 A 气溶胶系统），与 GB 50370 第 5.0.3 条 “气体灭火延迟≤30s” 完全一致；2. 消防给水符合 GB 50974《消防给水及消火栓系统技术规范》，室外消火栓间距≤60m，与国标要求衔接；3. 细水雾系统持续喷射≥1h，符合 GB 50898 “局部应用系统持续喷射时间” 的细化要求。</w:t>
            </w:r>
          </w:p>
        </w:tc>
        <w:tc>
          <w:tcPr>
            <w:tcW w:w="0" w:type="auto"/>
            <w:vAlign w:val="center"/>
          </w:tcPr>
          <w:p w14:paraId="0CD4F986">
            <w:pPr>
              <w:widowControl/>
              <w:jc w:val="left"/>
              <w:rPr>
                <w:rFonts w:hint="eastAsia" w:ascii="宋体" w:hAnsi="宋体" w:cs="方正仿宋_GBK"/>
                <w:color w:val="auto"/>
                <w:szCs w:val="20"/>
              </w:rPr>
            </w:pPr>
            <w:r>
              <w:rPr>
                <w:rFonts w:hint="eastAsia" w:ascii="宋体" w:hAnsi="宋体" w:cs="方正仿宋_GBK"/>
                <w:color w:val="auto"/>
                <w:szCs w:val="20"/>
              </w:rPr>
              <w:t>GB 50370、GB 50974、GB 50898</w:t>
            </w:r>
          </w:p>
        </w:tc>
      </w:tr>
      <w:tr w14:paraId="5FAC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1332" w:type="dxa"/>
            <w:vAlign w:val="center"/>
          </w:tcPr>
          <w:p w14:paraId="6B786507">
            <w:pPr>
              <w:widowControl/>
              <w:jc w:val="left"/>
              <w:rPr>
                <w:rFonts w:hint="eastAsia" w:ascii="宋体" w:hAnsi="宋体" w:cs="方正仿宋_GBK"/>
                <w:color w:val="auto"/>
                <w:szCs w:val="20"/>
              </w:rPr>
            </w:pPr>
            <w:r>
              <w:rPr>
                <w:rFonts w:hint="eastAsia" w:ascii="宋体" w:hAnsi="宋体" w:cs="方正仿宋_GBK"/>
                <w:color w:val="auto"/>
                <w:szCs w:val="20"/>
              </w:rPr>
              <w:t>爆炸泄压</w:t>
            </w:r>
          </w:p>
        </w:tc>
        <w:tc>
          <w:tcPr>
            <w:tcW w:w="5761" w:type="dxa"/>
            <w:vAlign w:val="center"/>
          </w:tcPr>
          <w:p w14:paraId="04C8A03A">
            <w:pPr>
              <w:widowControl/>
              <w:jc w:val="left"/>
              <w:rPr>
                <w:rFonts w:hint="eastAsia" w:ascii="宋体" w:hAnsi="宋体" w:cs="方正仿宋_GBK"/>
                <w:color w:val="auto"/>
                <w:szCs w:val="20"/>
              </w:rPr>
            </w:pPr>
            <w:r>
              <w:rPr>
                <w:rFonts w:hint="eastAsia" w:ascii="宋体" w:hAnsi="宋体" w:cs="方正仿宋_GBK"/>
                <w:color w:val="auto"/>
                <w:szCs w:val="20"/>
              </w:rPr>
              <w:t>1. 泄压装置 “静开启压力≤0.01MPa@22℃”，与 GB/T 44026《预制舱式锂离子电池储能系统技术规范》“泄压安全” 要求无冲突；2. 泄压面积计算参考 GB/T 803《空气中可燃气体爆炸指数测定方法》，方法一致。</w:t>
            </w:r>
          </w:p>
        </w:tc>
        <w:tc>
          <w:tcPr>
            <w:tcW w:w="0" w:type="auto"/>
            <w:vAlign w:val="center"/>
          </w:tcPr>
          <w:p w14:paraId="1FB78D17">
            <w:pPr>
              <w:widowControl/>
              <w:jc w:val="left"/>
              <w:rPr>
                <w:rFonts w:hint="eastAsia" w:ascii="宋体" w:hAnsi="宋体" w:cs="方正仿宋_GBK"/>
                <w:color w:val="auto"/>
                <w:szCs w:val="20"/>
              </w:rPr>
            </w:pPr>
            <w:r>
              <w:rPr>
                <w:rFonts w:hint="eastAsia" w:ascii="宋体" w:hAnsi="宋体" w:cs="方正仿宋_GBK"/>
                <w:color w:val="auto"/>
                <w:szCs w:val="20"/>
              </w:rPr>
              <w:t>GB/T 44026、GB/T 803</w:t>
            </w:r>
          </w:p>
        </w:tc>
      </w:tr>
      <w:tr w14:paraId="6050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1332" w:type="dxa"/>
            <w:vAlign w:val="center"/>
          </w:tcPr>
          <w:p w14:paraId="75962254">
            <w:pPr>
              <w:widowControl/>
              <w:jc w:val="left"/>
              <w:rPr>
                <w:rFonts w:hint="eastAsia" w:ascii="宋体" w:hAnsi="宋体" w:cs="方正仿宋_GBK"/>
                <w:color w:val="auto"/>
                <w:szCs w:val="20"/>
              </w:rPr>
            </w:pPr>
            <w:r>
              <w:rPr>
                <w:rFonts w:hint="eastAsia" w:ascii="宋体" w:hAnsi="宋体" w:cs="方正仿宋_GBK"/>
                <w:color w:val="auto"/>
                <w:szCs w:val="20"/>
              </w:rPr>
              <w:t>通风排烟</w:t>
            </w:r>
          </w:p>
        </w:tc>
        <w:tc>
          <w:tcPr>
            <w:tcW w:w="5761" w:type="dxa"/>
            <w:vAlign w:val="center"/>
          </w:tcPr>
          <w:p w14:paraId="1BAFE974">
            <w:pPr>
              <w:widowControl/>
              <w:jc w:val="left"/>
              <w:rPr>
                <w:rFonts w:hint="eastAsia" w:ascii="宋体" w:hAnsi="宋体" w:cs="方正仿宋_GBK"/>
                <w:color w:val="auto"/>
                <w:szCs w:val="20"/>
              </w:rPr>
            </w:pPr>
            <w:r>
              <w:rPr>
                <w:rFonts w:hint="eastAsia" w:ascii="宋体" w:hAnsi="宋体" w:cs="方正仿宋_GBK"/>
                <w:color w:val="auto"/>
                <w:szCs w:val="20"/>
              </w:rPr>
              <w:t>1. 通风设备 “防爆型”，符合 GB 51048 第 6.3.2 条 “爆炸危险区域设备选型”；2. 联动逻辑（预警开通风、火灾关通风）与 GB/T 46261 “通风联动” 框架一致，无反向要求。</w:t>
            </w:r>
          </w:p>
        </w:tc>
        <w:tc>
          <w:tcPr>
            <w:tcW w:w="0" w:type="auto"/>
            <w:vAlign w:val="center"/>
          </w:tcPr>
          <w:p w14:paraId="469BC136">
            <w:pPr>
              <w:widowControl/>
              <w:jc w:val="left"/>
              <w:rPr>
                <w:rFonts w:hint="eastAsia" w:ascii="宋体" w:hAnsi="宋体" w:cs="方正仿宋_GBK"/>
                <w:color w:val="auto"/>
                <w:szCs w:val="20"/>
              </w:rPr>
            </w:pPr>
            <w:r>
              <w:rPr>
                <w:rFonts w:hint="eastAsia" w:ascii="宋体" w:hAnsi="宋体" w:cs="方正仿宋_GBK"/>
                <w:color w:val="auto"/>
                <w:szCs w:val="20"/>
              </w:rPr>
              <w:t>GB 51048、GB/T 46261</w:t>
            </w:r>
          </w:p>
        </w:tc>
      </w:tr>
    </w:tbl>
    <w:p w14:paraId="78F71F4E">
      <w:pPr>
        <w:snapToGrid w:val="0"/>
        <w:spacing w:line="360" w:lineRule="auto"/>
        <w:ind w:firstLine="600"/>
        <w:rPr>
          <w:bCs/>
          <w:color w:val="auto"/>
          <w:sz w:val="30"/>
          <w:szCs w:val="30"/>
        </w:rPr>
      </w:pPr>
    </w:p>
    <w:p w14:paraId="3B78E288">
      <w:pPr>
        <w:snapToGrid w:val="0"/>
        <w:spacing w:line="360" w:lineRule="auto"/>
        <w:ind w:firstLine="600"/>
        <w:rPr>
          <w:bCs/>
          <w:color w:val="auto"/>
          <w:sz w:val="30"/>
          <w:szCs w:val="30"/>
        </w:rPr>
      </w:pPr>
      <w:r>
        <w:rPr>
          <w:rFonts w:hint="eastAsia"/>
          <w:bCs/>
          <w:color w:val="auto"/>
          <w:sz w:val="30"/>
          <w:szCs w:val="30"/>
        </w:rPr>
        <w:t>3、在现有行业应用和技术基础之上，针对行业痛点问题，细化可操作性，主要体现在：</w:t>
      </w:r>
    </w:p>
    <w:p w14:paraId="2797442A">
      <w:pPr>
        <w:widowControl/>
        <w:spacing w:line="560" w:lineRule="exact"/>
        <w:ind w:firstLine="600" w:firstLineChars="200"/>
        <w:rPr>
          <w:bCs/>
          <w:color w:val="auto"/>
          <w:sz w:val="30"/>
          <w:szCs w:val="30"/>
        </w:rPr>
      </w:pPr>
      <w:r>
        <w:rPr>
          <w:rFonts w:hint="eastAsia"/>
          <w:bCs/>
          <w:color w:val="auto"/>
          <w:sz w:val="30"/>
          <w:szCs w:val="30"/>
        </w:rPr>
        <w:t>1）选址与总布置：补充国标未明确的“防控单元量化指标”</w:t>
      </w:r>
    </w:p>
    <w:p w14:paraId="711EC10B">
      <w:pPr>
        <w:widowControl/>
        <w:spacing w:line="560" w:lineRule="exact"/>
        <w:ind w:firstLine="600" w:firstLineChars="200"/>
        <w:rPr>
          <w:bCs/>
          <w:color w:val="auto"/>
          <w:sz w:val="30"/>
          <w:szCs w:val="30"/>
        </w:rPr>
      </w:pPr>
      <w:r>
        <w:rPr>
          <w:rFonts w:hint="eastAsia"/>
          <w:bCs/>
          <w:color w:val="auto"/>
          <w:sz w:val="30"/>
          <w:szCs w:val="30"/>
        </w:rPr>
        <w:t>现行GB 51048仅要求“预制舱分区布置”，但未明确 “单个防控单元的能量上限”，导则 5.2 条补充：“单个防控单元内所有电池舱的额定能量之和宜不大于10 MWh”，同时要求“预制舱单层布置”—— 该规定针对性解决了“防控单元过大导致火灾蔓延跨区”的行业风险，通过能量上限划分防控边界，比国标更具可操作性。</w:t>
      </w:r>
    </w:p>
    <w:p w14:paraId="43E0AF44">
      <w:pPr>
        <w:widowControl/>
        <w:spacing w:line="560" w:lineRule="exact"/>
        <w:ind w:firstLine="600" w:firstLineChars="200"/>
        <w:rPr>
          <w:bCs/>
          <w:color w:val="auto"/>
          <w:sz w:val="30"/>
          <w:szCs w:val="30"/>
        </w:rPr>
      </w:pPr>
      <w:r>
        <w:rPr>
          <w:rFonts w:hint="eastAsia"/>
          <w:bCs/>
          <w:color w:val="auto"/>
          <w:sz w:val="30"/>
          <w:szCs w:val="30"/>
        </w:rPr>
        <w:t>此外，导则5.3条“电池舱/室内装饰材料燃烧性能A级”，虽GB 50016要求“建筑内部装修A级”，但导则明确“保温、铺地、装饰”三类关键材料，避免实际工程中“非核心材料降级” 的隐患，细化程度更高。</w:t>
      </w:r>
    </w:p>
    <w:p w14:paraId="1DB0AFAD">
      <w:pPr>
        <w:widowControl/>
        <w:spacing w:line="560" w:lineRule="exact"/>
        <w:ind w:firstLine="600" w:firstLineChars="200"/>
        <w:rPr>
          <w:bCs/>
          <w:color w:val="auto"/>
          <w:sz w:val="30"/>
          <w:szCs w:val="30"/>
        </w:rPr>
      </w:pPr>
      <w:r>
        <w:rPr>
          <w:rFonts w:hint="eastAsia"/>
          <w:bCs/>
          <w:color w:val="auto"/>
          <w:sz w:val="30"/>
          <w:szCs w:val="30"/>
        </w:rPr>
        <w:t>2）火灾监测预警：细化“分级预警+多系统联动”，提升早期干预能力</w:t>
      </w:r>
    </w:p>
    <w:p w14:paraId="1E504FE0">
      <w:pPr>
        <w:widowControl/>
        <w:spacing w:line="560" w:lineRule="exact"/>
        <w:ind w:firstLine="600" w:firstLineChars="200"/>
        <w:rPr>
          <w:bCs/>
          <w:color w:val="auto"/>
          <w:sz w:val="30"/>
          <w:szCs w:val="30"/>
        </w:rPr>
      </w:pPr>
      <w:r>
        <w:rPr>
          <w:rFonts w:hint="eastAsia"/>
          <w:bCs/>
          <w:color w:val="auto"/>
          <w:sz w:val="30"/>
          <w:szCs w:val="30"/>
        </w:rPr>
        <w:t>现行 GB/T 46261 仅框架性提出 “分级预警”，但未明确 “预警触发条件”“联动动作细节”，导则 6.3 条、7.3 条进行突破性细化：</w:t>
      </w:r>
    </w:p>
    <w:p w14:paraId="0A14F78E">
      <w:pPr>
        <w:widowControl/>
        <w:spacing w:line="560" w:lineRule="exact"/>
        <w:ind w:firstLine="600" w:firstLineChars="200"/>
        <w:rPr>
          <w:bCs/>
          <w:color w:val="auto"/>
          <w:sz w:val="30"/>
          <w:szCs w:val="30"/>
        </w:rPr>
      </w:pPr>
      <w:r>
        <w:rPr>
          <w:rFonts w:hint="eastAsia"/>
          <w:bCs/>
          <w:color w:val="auto"/>
          <w:sz w:val="30"/>
          <w:szCs w:val="30"/>
        </w:rPr>
        <w:t>早期预警触发：明确“单一特征气体（VOC/H</w:t>
      </w:r>
      <w:r>
        <w:rPr>
          <w:bCs/>
          <w:color w:val="auto"/>
          <w:sz w:val="30"/>
          <w:szCs w:val="30"/>
        </w:rPr>
        <w:t>₂</w:t>
      </w:r>
      <w:r>
        <w:rPr>
          <w:rFonts w:hint="eastAsia"/>
          <w:bCs/>
          <w:color w:val="auto"/>
          <w:sz w:val="30"/>
          <w:szCs w:val="30"/>
        </w:rPr>
        <w:t>/CO）浓度异常或电池温升速率超标”即可触发早期预警，联动“降低功率、加强降温通风”—— 比国标更灵敏，可在热失控 “不可逆阶段” 前干预；</w:t>
      </w:r>
    </w:p>
    <w:p w14:paraId="6169B862">
      <w:pPr>
        <w:widowControl/>
        <w:spacing w:line="560" w:lineRule="exact"/>
        <w:ind w:firstLine="600" w:firstLineChars="200"/>
        <w:rPr>
          <w:bCs/>
          <w:color w:val="auto"/>
          <w:sz w:val="30"/>
          <w:szCs w:val="30"/>
        </w:rPr>
      </w:pPr>
      <w:r>
        <w:rPr>
          <w:rFonts w:hint="eastAsia"/>
          <w:bCs/>
          <w:color w:val="auto"/>
          <w:sz w:val="30"/>
          <w:szCs w:val="30"/>
        </w:rPr>
        <w:t>热失控事件确认：要求“多参数（气体+温度+烟雾）报警+ 视频/巡检确认（电池壳体破裂、泄压阀爆开）”，方可判定热失控，联动“BMS 停机隔离、PCS 停机”—— 避免单一探测器误报导致的系统误动作，同时通过 “视频确认” 提升报警准确性；</w:t>
      </w:r>
    </w:p>
    <w:p w14:paraId="2FD3717A">
      <w:pPr>
        <w:widowControl/>
        <w:spacing w:line="560" w:lineRule="exact"/>
        <w:ind w:firstLine="600" w:firstLineChars="200"/>
        <w:rPr>
          <w:bCs/>
          <w:color w:val="auto"/>
          <w:sz w:val="30"/>
          <w:szCs w:val="30"/>
        </w:rPr>
      </w:pPr>
      <w:r>
        <w:rPr>
          <w:rFonts w:hint="eastAsia"/>
          <w:bCs/>
          <w:color w:val="auto"/>
          <w:sz w:val="30"/>
          <w:szCs w:val="30"/>
        </w:rPr>
        <w:t>模块级监测：导则 6.1 条要求“每个电池模块宜单独配置气体探测器”，现行国标多要求“舱级/簇级”监测，模块级监测可将预警时间提前3-5 分钟（热失控从模块扩散至簇需时间），大幅提升早期处置窗口。</w:t>
      </w:r>
    </w:p>
    <w:p w14:paraId="5DB5220C">
      <w:pPr>
        <w:widowControl/>
        <w:spacing w:line="560" w:lineRule="exact"/>
        <w:ind w:firstLine="600" w:firstLineChars="200"/>
        <w:rPr>
          <w:bCs/>
          <w:color w:val="auto"/>
          <w:sz w:val="30"/>
          <w:szCs w:val="30"/>
        </w:rPr>
      </w:pPr>
      <w:r>
        <w:rPr>
          <w:rFonts w:hint="eastAsia"/>
          <w:bCs/>
          <w:color w:val="auto"/>
          <w:sz w:val="30"/>
          <w:szCs w:val="30"/>
        </w:rPr>
        <w:t>3）灭火系统：创新 “三级覆盖+介质适配”，解决复燃难题</w:t>
      </w:r>
    </w:p>
    <w:p w14:paraId="08E80034">
      <w:pPr>
        <w:widowControl/>
        <w:spacing w:line="560" w:lineRule="exact"/>
        <w:ind w:firstLine="600" w:firstLineChars="200"/>
        <w:rPr>
          <w:bCs/>
          <w:color w:val="auto"/>
          <w:sz w:val="30"/>
          <w:szCs w:val="30"/>
        </w:rPr>
      </w:pPr>
      <w:r>
        <w:rPr>
          <w:rFonts w:hint="eastAsia"/>
          <w:bCs/>
          <w:color w:val="auto"/>
          <w:sz w:val="30"/>
          <w:szCs w:val="30"/>
        </w:rPr>
        <w:t>锂离子电池火灾的核心痛点是“复燃风险高、蔓延快”，现行国标 GB 51048、GB 50370 未明确 “分级灭火覆盖”，导则 8.0.1 条、8.0.4 条提出创新性要求：</w:t>
      </w:r>
    </w:p>
    <w:p w14:paraId="475C7633">
      <w:pPr>
        <w:widowControl/>
        <w:spacing w:line="560" w:lineRule="exact"/>
        <w:ind w:firstLine="600" w:firstLineChars="200"/>
        <w:rPr>
          <w:bCs/>
          <w:color w:val="auto"/>
          <w:sz w:val="30"/>
          <w:szCs w:val="30"/>
        </w:rPr>
      </w:pPr>
      <w:r>
        <w:rPr>
          <w:rFonts w:hint="eastAsia"/>
          <w:bCs/>
          <w:color w:val="auto"/>
          <w:sz w:val="30"/>
          <w:szCs w:val="30"/>
        </w:rPr>
        <w:t>三级灭火覆盖：明确锂离子电池系统需覆盖“模块级（细水雾 / 液氮 / 全氟己酮）、簇级（水消防）、舱级（水消防）”，针对热失控“模块→簇→舱”的蔓延路径，实现“精准灭火+持续控温”；</w:t>
      </w:r>
    </w:p>
    <w:p w14:paraId="412F5BEB">
      <w:pPr>
        <w:widowControl/>
        <w:spacing w:line="560" w:lineRule="exact"/>
        <w:ind w:firstLine="600" w:firstLineChars="200"/>
        <w:rPr>
          <w:bCs/>
          <w:color w:val="auto"/>
          <w:sz w:val="30"/>
          <w:szCs w:val="30"/>
        </w:rPr>
      </w:pPr>
      <w:r>
        <w:rPr>
          <w:rFonts w:hint="eastAsia"/>
          <w:bCs/>
          <w:color w:val="auto"/>
          <w:sz w:val="30"/>
          <w:szCs w:val="30"/>
        </w:rPr>
        <w:t>介质适配逻辑：模块级用 “快速降温介质（液氮 / 细水雾）” 抑制初期燃烧，簇/舱级用“持续控温的水消防”防复燃—— 比单纯使用气体灭火（无法持续降温）更有效，且导则 8.0.7 条量化“2 min 内扑灭中期明火、24 h 不复燃”，为灭火系统性能提供可考核指标；</w:t>
      </w:r>
    </w:p>
    <w:p w14:paraId="50E61498">
      <w:pPr>
        <w:widowControl/>
        <w:spacing w:line="560" w:lineRule="exact"/>
        <w:ind w:firstLine="600" w:firstLineChars="200"/>
        <w:rPr>
          <w:bCs/>
          <w:color w:val="auto"/>
          <w:sz w:val="30"/>
          <w:szCs w:val="30"/>
        </w:rPr>
      </w:pPr>
      <w:r>
        <w:rPr>
          <w:rFonts w:hint="eastAsia"/>
          <w:bCs/>
          <w:color w:val="auto"/>
          <w:sz w:val="30"/>
          <w:szCs w:val="30"/>
        </w:rPr>
        <w:t>实体试验要求：导则 8.0.3 条强制“灭火参数需经簇级、舱级实体火灾模拟试验验证”，现行国标多要求“模块级试验”，簇/舱级试验更贴近实际电站场景，避免“实验室数据与工程应用脱节”。</w:t>
      </w:r>
    </w:p>
    <w:p w14:paraId="25B0FD56">
      <w:pPr>
        <w:widowControl/>
        <w:spacing w:line="560" w:lineRule="exact"/>
        <w:ind w:firstLine="600" w:firstLineChars="200"/>
        <w:rPr>
          <w:bCs/>
          <w:color w:val="auto"/>
          <w:sz w:val="30"/>
          <w:szCs w:val="30"/>
        </w:rPr>
      </w:pPr>
      <w:r>
        <w:rPr>
          <w:rFonts w:hint="eastAsia"/>
          <w:bCs/>
          <w:color w:val="auto"/>
          <w:sz w:val="30"/>
          <w:szCs w:val="30"/>
        </w:rPr>
        <w:t>4）爆炸泄压：明确 “泄压装置关键参数”，避免泄压失效风险</w:t>
      </w:r>
    </w:p>
    <w:p w14:paraId="11F39839">
      <w:pPr>
        <w:widowControl/>
        <w:spacing w:line="560" w:lineRule="exact"/>
        <w:ind w:firstLine="600" w:firstLineChars="200"/>
        <w:rPr>
          <w:bCs/>
          <w:color w:val="auto"/>
          <w:sz w:val="30"/>
          <w:szCs w:val="30"/>
        </w:rPr>
      </w:pPr>
      <w:r>
        <w:rPr>
          <w:rFonts w:hint="eastAsia"/>
          <w:bCs/>
          <w:color w:val="auto"/>
          <w:sz w:val="30"/>
          <w:szCs w:val="30"/>
        </w:rPr>
        <w:t>现行GB/T 44026 仅要求“预制舱设泄压装置”，但未明确 “开启压力、碎片控制”等关键参数，导则9.2条、9.3条补充：</w:t>
      </w:r>
    </w:p>
    <w:p w14:paraId="49237D3A">
      <w:pPr>
        <w:widowControl/>
        <w:spacing w:line="560" w:lineRule="exact"/>
        <w:ind w:firstLine="600" w:firstLineChars="200"/>
        <w:rPr>
          <w:bCs/>
          <w:color w:val="auto"/>
          <w:sz w:val="30"/>
          <w:szCs w:val="30"/>
        </w:rPr>
      </w:pPr>
      <w:r>
        <w:rPr>
          <w:rFonts w:hint="eastAsia"/>
          <w:bCs/>
          <w:color w:val="auto"/>
          <w:sz w:val="30"/>
          <w:szCs w:val="30"/>
        </w:rPr>
        <w:t>泄压装置“静开启压力≤0.01 MPa@22℃”—— 确保热失控产生的可燃气体（H</w:t>
      </w:r>
      <w:r>
        <w:rPr>
          <w:bCs/>
          <w:color w:val="auto"/>
          <w:sz w:val="30"/>
          <w:szCs w:val="30"/>
        </w:rPr>
        <w:t>₂</w:t>
      </w:r>
      <w:r>
        <w:rPr>
          <w:rFonts w:hint="eastAsia"/>
          <w:bCs/>
          <w:color w:val="auto"/>
          <w:sz w:val="30"/>
          <w:szCs w:val="30"/>
        </w:rPr>
        <w:t>为主）达到爆炸下限前即可泄压，避免舱内压力骤升；</w:t>
      </w:r>
    </w:p>
    <w:p w14:paraId="7187EE96">
      <w:pPr>
        <w:widowControl/>
        <w:spacing w:line="560" w:lineRule="exact"/>
        <w:ind w:firstLine="600" w:firstLineChars="200"/>
        <w:rPr>
          <w:bCs/>
          <w:color w:val="auto"/>
          <w:sz w:val="30"/>
          <w:szCs w:val="30"/>
        </w:rPr>
      </w:pPr>
      <w:r>
        <w:rPr>
          <w:rFonts w:hint="eastAsia"/>
          <w:bCs/>
          <w:color w:val="auto"/>
          <w:sz w:val="30"/>
          <w:szCs w:val="30"/>
        </w:rPr>
        <w:t>要求“泄压装置爆破时不产生碎片及抛射物”—— 解决了现行标准未考虑的“泄压装置碎片伤人 / 损坏周边设备” 的次生风险；</w:t>
      </w:r>
    </w:p>
    <w:p w14:paraId="06D8EC81">
      <w:pPr>
        <w:widowControl/>
        <w:spacing w:line="560" w:lineRule="exact"/>
        <w:ind w:firstLine="600" w:firstLineChars="200"/>
        <w:rPr>
          <w:bCs/>
          <w:color w:val="auto"/>
          <w:sz w:val="30"/>
          <w:szCs w:val="30"/>
        </w:rPr>
      </w:pPr>
      <w:r>
        <w:rPr>
          <w:rFonts w:hint="eastAsia"/>
          <w:bCs/>
          <w:color w:val="auto"/>
          <w:sz w:val="30"/>
          <w:szCs w:val="30"/>
        </w:rPr>
        <w:t>泄压面积“不小于理论计算值” 且 “设备不阻挡泄压口”—— 通过计算方法和布置要求，确保泄压效率，避免 “形式化泄压”。</w:t>
      </w:r>
    </w:p>
    <w:p w14:paraId="4AF5B5A7">
      <w:pPr>
        <w:widowControl/>
        <w:spacing w:line="560" w:lineRule="exact"/>
        <w:ind w:firstLine="600" w:firstLineChars="200"/>
        <w:rPr>
          <w:bCs/>
          <w:color w:val="auto"/>
          <w:sz w:val="30"/>
          <w:szCs w:val="30"/>
        </w:rPr>
      </w:pPr>
      <w:r>
        <w:rPr>
          <w:rFonts w:hint="eastAsia"/>
          <w:bCs/>
          <w:color w:val="auto"/>
          <w:sz w:val="30"/>
          <w:szCs w:val="30"/>
        </w:rPr>
        <w:t>5）通风排烟：创新 “双模式联动”，适配热失控不同阶段</w:t>
      </w:r>
    </w:p>
    <w:p w14:paraId="4F46A8A0">
      <w:pPr>
        <w:widowControl/>
        <w:spacing w:line="560" w:lineRule="exact"/>
        <w:ind w:firstLine="600" w:firstLineChars="200"/>
        <w:rPr>
          <w:bCs/>
          <w:color w:val="auto"/>
          <w:sz w:val="30"/>
          <w:szCs w:val="30"/>
        </w:rPr>
      </w:pPr>
      <w:r>
        <w:rPr>
          <w:rFonts w:hint="eastAsia"/>
          <w:bCs/>
          <w:color w:val="auto"/>
          <w:sz w:val="30"/>
          <w:szCs w:val="30"/>
        </w:rPr>
        <w:t>现行GB 51048仅要求“通风系统与报警联动”，但未明确 “联动时机”，导则 10.3 条提出“双模式处置逻辑”：</w:t>
      </w:r>
    </w:p>
    <w:p w14:paraId="64BFDD9C">
      <w:pPr>
        <w:widowControl/>
        <w:spacing w:line="560" w:lineRule="exact"/>
        <w:ind w:firstLine="600" w:firstLineChars="200"/>
        <w:rPr>
          <w:bCs/>
          <w:color w:val="auto"/>
          <w:sz w:val="30"/>
          <w:szCs w:val="30"/>
        </w:rPr>
      </w:pPr>
      <w:r>
        <w:rPr>
          <w:rFonts w:hint="eastAsia"/>
          <w:bCs/>
          <w:color w:val="auto"/>
          <w:sz w:val="30"/>
          <w:szCs w:val="30"/>
        </w:rPr>
        <w:t>热失控预警阶段：自动启动事故通风，稀释舱内可燃气体（H</w:t>
      </w:r>
      <w:r>
        <w:rPr>
          <w:bCs/>
          <w:color w:val="auto"/>
          <w:sz w:val="30"/>
          <w:szCs w:val="30"/>
        </w:rPr>
        <w:t>₂</w:t>
      </w:r>
      <w:r>
        <w:rPr>
          <w:rFonts w:hint="eastAsia"/>
          <w:bCs/>
          <w:color w:val="auto"/>
          <w:sz w:val="30"/>
          <w:szCs w:val="30"/>
        </w:rPr>
        <w:t>/VOC），避免浓度达到爆炸极限；</w:t>
      </w:r>
    </w:p>
    <w:p w14:paraId="371FE571">
      <w:pPr>
        <w:widowControl/>
        <w:snapToGrid w:val="0"/>
        <w:spacing w:line="312" w:lineRule="auto"/>
        <w:ind w:firstLine="600" w:firstLineChars="200"/>
        <w:rPr>
          <w:rFonts w:hint="eastAsia" w:ascii="宋体" w:hAnsi="宋体" w:cs="宋体"/>
          <w:bCs/>
          <w:color w:val="auto"/>
          <w:sz w:val="30"/>
          <w:szCs w:val="30"/>
        </w:rPr>
      </w:pPr>
      <w:r>
        <w:rPr>
          <w:rFonts w:hint="eastAsia"/>
          <w:bCs/>
          <w:color w:val="auto"/>
          <w:sz w:val="30"/>
          <w:szCs w:val="30"/>
        </w:rPr>
        <w:t>火灾确认阶段：自动关闭通风并启动排烟，防止新鲜空气进入助燃，同时排出高温烟气 —— 该逻辑完全贴合 “热失控初期防爆炸、火灾期防蔓延”的需求，比国标“单一联动” 更精准</w:t>
      </w:r>
      <w:r>
        <w:rPr>
          <w:rFonts w:hint="eastAsia" w:ascii="宋体" w:hAnsi="宋体" w:cs="宋体"/>
          <w:bCs/>
          <w:color w:val="auto"/>
          <w:sz w:val="30"/>
          <w:szCs w:val="30"/>
        </w:rPr>
        <w:t>。</w:t>
      </w:r>
    </w:p>
    <w:p w14:paraId="5DB1FE75">
      <w:pPr>
        <w:widowControl/>
        <w:snapToGrid w:val="0"/>
        <w:spacing w:line="312" w:lineRule="auto"/>
        <w:ind w:firstLine="600" w:firstLineChars="200"/>
        <w:rPr>
          <w:rFonts w:hint="eastAsia" w:ascii="宋体" w:hAnsi="宋体" w:cs="宋体"/>
          <w:bCs/>
          <w:color w:val="auto"/>
          <w:sz w:val="30"/>
          <w:szCs w:val="30"/>
        </w:rPr>
      </w:pPr>
    </w:p>
    <w:p w14:paraId="107BC99D">
      <w:pPr>
        <w:snapToGrid w:val="0"/>
        <w:spacing w:line="360" w:lineRule="auto"/>
        <w:ind w:firstLine="600" w:firstLineChars="200"/>
        <w:rPr>
          <w:rFonts w:hint="eastAsia" w:ascii="黑体" w:hAnsi="黑体" w:eastAsia="黑体" w:cs="仿宋_GB2312"/>
          <w:color w:val="auto"/>
          <w:sz w:val="30"/>
          <w:szCs w:val="30"/>
        </w:rPr>
      </w:pPr>
      <w:r>
        <w:rPr>
          <w:rFonts w:hint="eastAsia" w:ascii="黑体" w:hAnsi="黑体" w:eastAsia="黑体" w:cs="仿宋_GB2312"/>
          <w:color w:val="auto"/>
          <w:sz w:val="30"/>
          <w:szCs w:val="30"/>
        </w:rPr>
        <w:t>七、编制组成员工作分工</w:t>
      </w:r>
    </w:p>
    <w:p w14:paraId="70979CC9">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国网江苏省电力有限公司电力科学研究院作为标准主编单位负责标准编制。</w:t>
      </w:r>
    </w:p>
    <w:p w14:paraId="0366B19A">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应急管理部天津消防研究所、深圳市高新投三江电子股份有限公司、南京消防器材股份有限公司、青鸟消防股份有限公司、河南驰诚电气股份有限公司、湖南安民科技有限责任公司、南京和本机电设备科技有限公司、杭州德海艾科能源科技有限公司、江西清华实业有限公司、蚌埠依爱消防电子有限责任公司等主要参编单位对标准相关内容进行编制和完善。</w:t>
      </w:r>
    </w:p>
    <w:p w14:paraId="32E9E2D3">
      <w:pPr>
        <w:widowControl/>
        <w:snapToGrid w:val="0"/>
        <w:spacing w:line="312" w:lineRule="auto"/>
        <w:ind w:firstLine="600" w:firstLineChars="200"/>
        <w:rPr>
          <w:rFonts w:hint="eastAsia" w:ascii="宋体" w:hAnsi="宋体" w:cs="宋体"/>
          <w:bCs/>
          <w:color w:val="auto"/>
          <w:sz w:val="30"/>
          <w:szCs w:val="30"/>
        </w:rPr>
      </w:pPr>
      <w:r>
        <w:rPr>
          <w:rFonts w:hint="eastAsia" w:ascii="宋体" w:hAnsi="宋体" w:cs="宋体"/>
          <w:bCs/>
          <w:color w:val="auto"/>
          <w:sz w:val="30"/>
          <w:szCs w:val="30"/>
        </w:rPr>
        <w:t>蓝鲸高领（北京）标准化技术服务有限公司作为组织单位对标准全过程进行组织管理。</w:t>
      </w:r>
    </w:p>
    <w:p w14:paraId="51AF8D9F">
      <w:pPr>
        <w:widowControl/>
        <w:snapToGrid w:val="0"/>
        <w:spacing w:line="312" w:lineRule="auto"/>
        <w:ind w:firstLine="560" w:firstLineChars="200"/>
        <w:rPr>
          <w:rFonts w:hint="eastAsia" w:ascii="宋体" w:hAnsi="宋体" w:cs="宋体"/>
          <w:bCs/>
          <w:color w:val="auto"/>
          <w:sz w:val="28"/>
          <w:szCs w:val="28"/>
        </w:rPr>
      </w:pPr>
    </w:p>
    <w:p w14:paraId="56D8E5DA">
      <w:pPr>
        <w:snapToGrid w:val="0"/>
        <w:spacing w:line="360" w:lineRule="auto"/>
        <w:ind w:firstLine="600" w:firstLineChars="200"/>
        <w:rPr>
          <w:bCs/>
          <w:color w:val="auto"/>
          <w:sz w:val="30"/>
          <w:szCs w:val="30"/>
        </w:rPr>
      </w:pPr>
      <w:r>
        <w:rPr>
          <w:rFonts w:hint="eastAsia" w:ascii="黑体" w:hAnsi="黑体" w:eastAsia="黑体" w:cs="仿宋_GB2312"/>
          <w:color w:val="auto"/>
          <w:sz w:val="30"/>
          <w:szCs w:val="30"/>
        </w:rPr>
        <w:t>八、工作进度计划</w:t>
      </w:r>
    </w:p>
    <w:p w14:paraId="2BCDA7FD">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2023年11月成立编制组进行标准编制；</w:t>
      </w:r>
    </w:p>
    <w:p w14:paraId="0BB26C5B">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2024年1月24日中国消防协会发布立项公告；</w:t>
      </w:r>
    </w:p>
    <w:p w14:paraId="56F3918F">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2024年3月28日组织召开第一次工作会议；</w:t>
      </w:r>
    </w:p>
    <w:p w14:paraId="5924051F">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2024年9月26日组织召开第二次工作会议；</w:t>
      </w:r>
    </w:p>
    <w:p w14:paraId="55E55EDC">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2025年1月8日—2月10日公开征求意见；</w:t>
      </w:r>
    </w:p>
    <w:p w14:paraId="5B750DA3">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2025年2月—4月处理征求意见；</w:t>
      </w:r>
    </w:p>
    <w:p w14:paraId="34991FC0">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2025年5月形成送审稿送审；</w:t>
      </w:r>
    </w:p>
    <w:p w14:paraId="7163D40D">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2025年8月进行技术审查；</w:t>
      </w:r>
    </w:p>
    <w:p w14:paraId="1DCAE59E">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2026年1月进行标准二次审查；</w:t>
      </w:r>
    </w:p>
    <w:p w14:paraId="0BD7B1A6">
      <w:pPr>
        <w:widowControl/>
        <w:snapToGrid w:val="0"/>
        <w:spacing w:line="312" w:lineRule="auto"/>
        <w:ind w:firstLine="600" w:firstLineChars="200"/>
        <w:rPr>
          <w:rFonts w:ascii="宋体" w:hAnsi="宋体" w:cs="宋体"/>
          <w:bCs/>
          <w:color w:val="auto"/>
          <w:sz w:val="30"/>
          <w:szCs w:val="30"/>
        </w:rPr>
      </w:pPr>
      <w:r>
        <w:rPr>
          <w:rFonts w:hint="eastAsia" w:ascii="宋体" w:hAnsi="宋体" w:cs="宋体"/>
          <w:bCs/>
          <w:color w:val="auto"/>
          <w:sz w:val="30"/>
          <w:szCs w:val="30"/>
        </w:rPr>
        <w:t>拟定于2026年2月形成报批稿报批；</w:t>
      </w:r>
    </w:p>
    <w:p w14:paraId="6CEEC14C">
      <w:pPr>
        <w:widowControl/>
        <w:snapToGrid w:val="0"/>
        <w:spacing w:line="312" w:lineRule="auto"/>
        <w:ind w:firstLine="600" w:firstLineChars="200"/>
        <w:rPr>
          <w:rFonts w:hint="eastAsia" w:ascii="宋体" w:hAnsi="宋体" w:cs="宋体"/>
          <w:bCs/>
          <w:color w:val="auto"/>
          <w:sz w:val="28"/>
          <w:szCs w:val="28"/>
        </w:rPr>
      </w:pPr>
      <w:r>
        <w:rPr>
          <w:rFonts w:hint="eastAsia" w:ascii="宋体" w:hAnsi="宋体" w:cs="宋体"/>
          <w:bCs/>
          <w:color w:val="auto"/>
          <w:sz w:val="30"/>
          <w:szCs w:val="30"/>
        </w:rPr>
        <w:t>拟定于2026年3月标准发布实施。·</w:t>
      </w:r>
    </w:p>
    <w:p w14:paraId="1E7A6132">
      <w:pPr>
        <w:widowControl/>
        <w:snapToGrid w:val="0"/>
        <w:spacing w:line="312" w:lineRule="auto"/>
        <w:ind w:firstLine="560" w:firstLineChars="200"/>
        <w:rPr>
          <w:rFonts w:hint="eastAsia" w:ascii="宋体" w:hAnsi="宋体" w:cs="宋体"/>
          <w:bCs/>
          <w:color w:val="auto"/>
          <w:sz w:val="28"/>
          <w:szCs w:val="28"/>
        </w:rPr>
      </w:pPr>
    </w:p>
    <w:p w14:paraId="57EF73E2">
      <w:pPr>
        <w:numPr>
          <w:ilvl w:val="0"/>
          <w:numId w:val="1"/>
        </w:numPr>
        <w:snapToGrid w:val="0"/>
        <w:spacing w:line="360" w:lineRule="auto"/>
        <w:ind w:firstLine="600" w:firstLineChars="200"/>
        <w:rPr>
          <w:rFonts w:hint="eastAsia" w:ascii="黑体" w:hAnsi="黑体" w:eastAsia="黑体" w:cs="仿宋_GB2312"/>
          <w:color w:val="auto"/>
          <w:sz w:val="30"/>
          <w:szCs w:val="30"/>
        </w:rPr>
      </w:pPr>
      <w:r>
        <w:rPr>
          <w:rFonts w:hint="eastAsia" w:ascii="黑体" w:hAnsi="黑体" w:eastAsia="黑体" w:cs="仿宋_GB2312"/>
          <w:color w:val="auto"/>
          <w:sz w:val="30"/>
          <w:szCs w:val="30"/>
        </w:rPr>
        <w:t>其他需要安排的工作</w:t>
      </w:r>
    </w:p>
    <w:p w14:paraId="07E01AFA">
      <w:pPr>
        <w:snapToGrid w:val="0"/>
        <w:spacing w:line="360" w:lineRule="auto"/>
        <w:ind w:firstLine="600" w:firstLineChars="200"/>
        <w:rPr>
          <w:rFonts w:hint="eastAsia" w:ascii="宋体" w:hAnsi="宋体" w:cs="仿宋_GB2312"/>
          <w:color w:val="auto"/>
          <w:sz w:val="30"/>
          <w:szCs w:val="30"/>
        </w:rPr>
      </w:pPr>
      <w:r>
        <w:rPr>
          <w:rFonts w:hint="eastAsia" w:ascii="宋体" w:hAnsi="宋体" w:cs="仿宋_GB2312"/>
          <w:color w:val="auto"/>
          <w:sz w:val="30"/>
          <w:szCs w:val="30"/>
        </w:rPr>
        <w:t>1、面对编制组成员单位率先开展标准示范应用工作，推进标准落地实施，并及时检测标准应用效果；</w:t>
      </w:r>
    </w:p>
    <w:p w14:paraId="0D1E73FD">
      <w:pPr>
        <w:widowControl/>
        <w:snapToGrid w:val="0"/>
        <w:spacing w:line="312" w:lineRule="auto"/>
        <w:ind w:firstLine="600" w:firstLineChars="200"/>
        <w:rPr>
          <w:color w:val="auto"/>
        </w:rPr>
      </w:pPr>
      <w:r>
        <w:rPr>
          <w:rFonts w:hint="eastAsia" w:ascii="宋体" w:hAnsi="宋体" w:cs="仿宋_GB2312"/>
          <w:color w:val="auto"/>
          <w:sz w:val="30"/>
          <w:szCs w:val="30"/>
        </w:rPr>
        <w:t>2、积极对接标准印刷工作，快速推动标准文本市场应用。</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2BFBF6-4F52-4165-B4DA-0767CCFA2C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81FA525-00E5-4F59-80D0-36869E3332F6}"/>
  </w:font>
  <w:font w:name="楷体">
    <w:panose1 w:val="02010609060101010101"/>
    <w:charset w:val="86"/>
    <w:family w:val="modern"/>
    <w:pitch w:val="default"/>
    <w:sig w:usb0="800002BF" w:usb1="38CF7CFA" w:usb2="00000016" w:usb3="00000000" w:csb0="00040001" w:csb1="00000000"/>
    <w:embedRegular r:id="rId3" w:fontKey="{5345EBEA-8C21-4221-911D-611BD967CA23}"/>
  </w:font>
  <w:font w:name="仿宋_GB2312">
    <w:altName w:val="仿宋"/>
    <w:panose1 w:val="00000000000000000000"/>
    <w:charset w:val="86"/>
    <w:family w:val="modern"/>
    <w:pitch w:val="default"/>
    <w:sig w:usb0="00000000" w:usb1="00000000" w:usb2="00000010" w:usb3="00000000" w:csb0="00040000" w:csb1="00000000"/>
    <w:embedRegular r:id="rId4" w:fontKey="{D61419A1-9F0F-456A-A98C-21FC7560EAE9}"/>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5" w:fontKey="{3C4F38A9-0C41-47AA-AEEB-D314C31F9098}"/>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E1B9">
    <w:pPr>
      <w:pStyle w:val="3"/>
      <w:tabs>
        <w:tab w:val="clear" w:pos="4153"/>
      </w:tabs>
      <w:jc w:val="left"/>
      <w:rPr>
        <w:rFonts w:hint="eastAsia"/>
      </w:rPr>
    </w:pPr>
    <w:r>
      <w:drawing>
        <wp:inline distT="0" distB="0" distL="0" distR="0">
          <wp:extent cx="654050" cy="6248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grayscl/>
                    <a:extLst>
                      <a:ext uri="{BEBA8EAE-BF5A-486C-A8C5-ECC9F3942E4B}">
                        <a14:imgProps xmlns:a14="http://schemas.microsoft.com/office/drawing/2010/main">
                          <a14:imgLayer r:embed="rId2">
                            <a14:imgEffect>
                              <a14:colorTemperature colorTemp="8665"/>
                            </a14:imgEffect>
                            <a14:imgEffect>
                              <a14:saturation sat="99000"/>
                            </a14:imgEffect>
                          </a14:imgLayer>
                        </a14:imgProps>
                      </a:ext>
                      <a:ext uri="{28A0092B-C50C-407E-A947-70E740481C1C}">
                        <a14:useLocalDpi xmlns:a14="http://schemas.microsoft.com/office/drawing/2010/main" val="0"/>
                      </a:ext>
                    </a:extLst>
                  </a:blip>
                  <a:srcRect/>
                  <a:stretch>
                    <a:fillRect/>
                  </a:stretch>
                </pic:blipFill>
                <pic:spPr>
                  <a:xfrm rot="10800000" flipH="1" flipV="1">
                    <a:off x="0" y="0"/>
                    <a:ext cx="744197" cy="7109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F13BC"/>
    <w:multiLevelType w:val="singleLevel"/>
    <w:tmpl w:val="3C4F13B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hZWMwODM2MjBhYjY4ZjVmYTNmNmRlMjUxYmE3MjMifQ=="/>
  </w:docVars>
  <w:rsids>
    <w:rsidRoot w:val="000C233A"/>
    <w:rsid w:val="00093ACB"/>
    <w:rsid w:val="000C233A"/>
    <w:rsid w:val="001111A5"/>
    <w:rsid w:val="00122C76"/>
    <w:rsid w:val="001A2541"/>
    <w:rsid w:val="00390844"/>
    <w:rsid w:val="0040759D"/>
    <w:rsid w:val="005C6A8C"/>
    <w:rsid w:val="00716418"/>
    <w:rsid w:val="007456CA"/>
    <w:rsid w:val="00796C01"/>
    <w:rsid w:val="007B1F3B"/>
    <w:rsid w:val="008F380F"/>
    <w:rsid w:val="0099008C"/>
    <w:rsid w:val="00B152F3"/>
    <w:rsid w:val="00B555E5"/>
    <w:rsid w:val="00BE79B0"/>
    <w:rsid w:val="00C0282F"/>
    <w:rsid w:val="00C63C2B"/>
    <w:rsid w:val="00D20570"/>
    <w:rsid w:val="00D22A83"/>
    <w:rsid w:val="00DE09E7"/>
    <w:rsid w:val="00E1242C"/>
    <w:rsid w:val="00E80B31"/>
    <w:rsid w:val="00E8283F"/>
    <w:rsid w:val="00E85B60"/>
    <w:rsid w:val="00EA6055"/>
    <w:rsid w:val="00F83663"/>
    <w:rsid w:val="25F80F5A"/>
    <w:rsid w:val="32284DC3"/>
    <w:rsid w:val="394B4316"/>
    <w:rsid w:val="4279360A"/>
    <w:rsid w:val="4DEA62E0"/>
    <w:rsid w:val="717709EB"/>
    <w:rsid w:val="7E13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FF"/>
      <w:sz w:val="21"/>
      <w:szCs w:val="21"/>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rFonts w:ascii="Times New Roman" w:hAnsi="Times New Roman" w:eastAsia="宋体" w:cs="Times New Roman"/>
      <w:color w:val="0000FF"/>
      <w:kern w:val="0"/>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microsoft.com/office/2007/relationships/hdphoto" Target="media/image2.wdp"/><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7901</Words>
  <Characters>8388</Characters>
  <Lines>220</Lines>
  <Paragraphs>144</Paragraphs>
  <TotalTime>57</TotalTime>
  <ScaleCrop>false</ScaleCrop>
  <LinksUpToDate>false</LinksUpToDate>
  <CharactersWithSpaces>8623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2022-10-09T07:13:00Z</dcterms:created>
  <dc:creator>wf_ljbz@126.com</dc:creator>
  <cp:lastModifiedBy>王晓敏</cp:lastModifiedBy>
  <dcterms:modified xsi:type="dcterms:W3CDTF">2026-03-13T02:56:55Z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B30E60FE04E0495FB417A7242FA5DD3B_13</vt:lpwstr>
  </property>
  <property fmtid="{D5CDD505-2E9C-101B-9397-08002B2CF9AE}" pid="4" name="KSOTemplateDocerSaveRecord">
    <vt:lpwstr>eyJoZGlkIjoiMzllYzZhYzgwZGQyMTEzNTJjMzExMTY0YzVlYjFkOWQiLCJ1c2VySWQiOiIzMTk2MTQ2NzUifQ==</vt:lpwstr>
  </property>
</Properties>
</file>